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F" w:rsidRDefault="0024154F"/>
    <w:p w:rsidR="00F20CF6" w:rsidRPr="00E13C9F" w:rsidRDefault="008E5EBB" w:rsidP="00F20CF6">
      <w:pPr>
        <w:jc w:val="center"/>
        <w:rPr>
          <w:rFonts w:ascii="Bookman Old Style" w:hAnsi="Bookman Old Style"/>
          <w:b/>
          <w:shadow/>
          <w:color w:val="4A442A"/>
          <w:sz w:val="44"/>
          <w:szCs w:val="44"/>
        </w:rPr>
      </w:pPr>
      <w:r w:rsidRPr="00E13C9F">
        <w:rPr>
          <w:rFonts w:ascii="Bookman Old Style" w:hAnsi="Bookman Old Style"/>
          <w:b/>
          <w:shadow/>
          <w:color w:val="4A442A"/>
          <w:sz w:val="44"/>
          <w:szCs w:val="44"/>
        </w:rPr>
        <w:t xml:space="preserve"> </w:t>
      </w:r>
      <w:r w:rsidR="00F20CF6" w:rsidRPr="00E13C9F">
        <w:rPr>
          <w:rFonts w:ascii="Bookman Old Style" w:hAnsi="Bookman Old Style"/>
          <w:b/>
          <w:shadow/>
          <w:color w:val="4A442A"/>
          <w:sz w:val="44"/>
          <w:szCs w:val="44"/>
        </w:rPr>
        <w:t xml:space="preserve">ΕΝΙΑΙΟ ΣΥΣΤΗΜΑ ΕΛΕΓΧΟΥ </w:t>
      </w:r>
      <w:r w:rsidR="00A40C12">
        <w:rPr>
          <w:rFonts w:ascii="Bookman Old Style" w:hAnsi="Bookman Old Style"/>
          <w:b/>
          <w:shadow/>
          <w:color w:val="4A442A"/>
          <w:sz w:val="44"/>
          <w:szCs w:val="44"/>
        </w:rPr>
        <w:t xml:space="preserve">&amp; </w:t>
      </w:r>
      <w:r w:rsidR="00F20CF6" w:rsidRPr="00E13C9F">
        <w:rPr>
          <w:rFonts w:ascii="Bookman Old Style" w:hAnsi="Bookman Old Style"/>
          <w:b/>
          <w:shadow/>
          <w:color w:val="4A442A"/>
          <w:sz w:val="44"/>
          <w:szCs w:val="44"/>
        </w:rPr>
        <w:t>ΠΛΗΡΩΜΩΝ ΣΥΝΤΑΞΕΩΝ</w:t>
      </w:r>
    </w:p>
    <w:p w:rsidR="00E13C9F" w:rsidRPr="00E13C9F" w:rsidRDefault="00E13C9F" w:rsidP="00F20CF6">
      <w:pPr>
        <w:jc w:val="center"/>
        <w:rPr>
          <w:rFonts w:ascii="Bookman Old Style" w:hAnsi="Bookman Old Style"/>
          <w:b/>
          <w:shadow/>
          <w:color w:val="4A442A"/>
          <w:sz w:val="44"/>
          <w:szCs w:val="44"/>
        </w:rPr>
      </w:pPr>
      <w:r w:rsidRPr="00E13C9F">
        <w:rPr>
          <w:rFonts w:ascii="Bookman Old Style" w:hAnsi="Bookman Old Style"/>
          <w:b/>
          <w:shadow/>
          <w:color w:val="4A442A"/>
          <w:sz w:val="44"/>
          <w:szCs w:val="44"/>
        </w:rPr>
        <w:t>«ΗΛΙΟΣ»</w:t>
      </w:r>
    </w:p>
    <w:p w:rsidR="008224E3" w:rsidRDefault="008345B5" w:rsidP="00EA001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933700" cy="2924175"/>
            <wp:effectExtent l="19050" t="0" r="0" b="0"/>
            <wp:docPr id="1" name="4 - Εικόνα" descr="hel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heli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48" t="1604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02" w:rsidRDefault="00510A02" w:rsidP="00EA001B">
      <w:pPr>
        <w:jc w:val="center"/>
      </w:pPr>
    </w:p>
    <w:p w:rsidR="00DB6739" w:rsidRPr="00645E57" w:rsidRDefault="00645E57" w:rsidP="00510A02">
      <w:pPr>
        <w:pBdr>
          <w:top w:val="single" w:sz="18" w:space="0" w:color="1F497D"/>
          <w:left w:val="single" w:sz="18" w:space="31" w:color="1F497D"/>
          <w:bottom w:val="single" w:sz="18" w:space="1" w:color="1F497D"/>
          <w:right w:val="single" w:sz="18" w:space="31" w:color="1F497D"/>
        </w:pBdr>
        <w:shd w:val="clear" w:color="auto" w:fill="1F497D"/>
        <w:jc w:val="center"/>
        <w:rPr>
          <w:rFonts w:ascii="Verdana" w:hAnsi="Verdana"/>
          <w:b/>
          <w:i/>
          <w:color w:val="FFFFFF"/>
          <w:sz w:val="30"/>
          <w:szCs w:val="30"/>
        </w:rPr>
      </w:pPr>
      <w:r w:rsidRPr="00645E57">
        <w:rPr>
          <w:rFonts w:ascii="Verdana" w:hAnsi="Verdana"/>
          <w:b/>
          <w:i/>
          <w:color w:val="FFFFFF"/>
          <w:sz w:val="30"/>
          <w:szCs w:val="30"/>
        </w:rPr>
        <w:t>ΜΗΝΙΑΙΑ ΑΠΕΙΚΟΝΙΣΗ ΣΥΝΤΑΞΙΟΔΟΤΙΚΩΝ ΠΑΡΟΧΩΝ</w:t>
      </w:r>
    </w:p>
    <w:p w:rsidR="008E5EBB" w:rsidRPr="007F2137" w:rsidRDefault="00112F91" w:rsidP="00510A02">
      <w:pPr>
        <w:pBdr>
          <w:top w:val="single" w:sz="18" w:space="0" w:color="1F497D"/>
          <w:left w:val="single" w:sz="18" w:space="31" w:color="1F497D"/>
          <w:bottom w:val="single" w:sz="18" w:space="1" w:color="1F497D"/>
          <w:right w:val="single" w:sz="18" w:space="31" w:color="1F497D"/>
        </w:pBdr>
        <w:shd w:val="clear" w:color="auto" w:fill="1F497D"/>
        <w:jc w:val="center"/>
        <w:rPr>
          <w:rFonts w:ascii="Verdana" w:hAnsi="Verdana"/>
          <w:b/>
          <w:color w:val="FFFFFF"/>
          <w:sz w:val="32"/>
          <w:szCs w:val="32"/>
        </w:rPr>
      </w:pPr>
      <w:r>
        <w:rPr>
          <w:rFonts w:ascii="Verdana" w:hAnsi="Verdana"/>
          <w:b/>
          <w:color w:val="FFFFFF"/>
          <w:sz w:val="32"/>
          <w:szCs w:val="32"/>
        </w:rPr>
        <w:t>ΕΚΘΕΣΗ ΤΕΤΑΡΤΗ</w:t>
      </w:r>
    </w:p>
    <w:p w:rsidR="00F03FA8" w:rsidRPr="006837E9" w:rsidRDefault="008E5EBB" w:rsidP="008E5EBB">
      <w:pPr>
        <w:tabs>
          <w:tab w:val="left" w:pos="301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:rsidR="00F03FA8" w:rsidRDefault="00F03FA8" w:rsidP="00F03FA8">
      <w:pPr>
        <w:tabs>
          <w:tab w:val="left" w:pos="3015"/>
        </w:tabs>
        <w:jc w:val="center"/>
        <w:rPr>
          <w:rFonts w:ascii="Arial Black" w:hAnsi="Arial Black"/>
          <w:color w:val="1F497D"/>
          <w:sz w:val="24"/>
          <w:szCs w:val="24"/>
        </w:rPr>
      </w:pPr>
    </w:p>
    <w:p w:rsidR="008224E3" w:rsidRPr="00645E57" w:rsidRDefault="00112F91" w:rsidP="00F03FA8">
      <w:pPr>
        <w:tabs>
          <w:tab w:val="left" w:pos="3015"/>
        </w:tabs>
        <w:jc w:val="center"/>
        <w:rPr>
          <w:rFonts w:ascii="Verdana" w:hAnsi="Verdana"/>
          <w:b/>
          <w:color w:val="1F497D"/>
          <w:sz w:val="28"/>
          <w:szCs w:val="28"/>
        </w:rPr>
      </w:pPr>
      <w:r>
        <w:rPr>
          <w:rFonts w:ascii="Verdana" w:hAnsi="Verdana"/>
          <w:b/>
          <w:color w:val="1F497D"/>
          <w:sz w:val="28"/>
          <w:szCs w:val="28"/>
        </w:rPr>
        <w:t>ΣΕΠΤΕΜΒΡΙΟΣ</w:t>
      </w:r>
      <w:r w:rsidR="008E5EBB" w:rsidRPr="00645E57">
        <w:rPr>
          <w:rFonts w:ascii="Verdana" w:hAnsi="Verdana"/>
          <w:b/>
          <w:color w:val="1F497D"/>
          <w:sz w:val="28"/>
          <w:szCs w:val="28"/>
        </w:rPr>
        <w:t xml:space="preserve"> 2013</w:t>
      </w:r>
    </w:p>
    <w:p w:rsidR="008E5EBB" w:rsidRDefault="008E5EBB" w:rsidP="008E5EBB">
      <w:pPr>
        <w:pStyle w:val="a8"/>
        <w:tabs>
          <w:tab w:val="right" w:pos="8306"/>
        </w:tabs>
      </w:pPr>
    </w:p>
    <w:p w:rsidR="008E5EBB" w:rsidRPr="008C3B24" w:rsidRDefault="008E5EBB" w:rsidP="008C3B24">
      <w:pPr>
        <w:pStyle w:val="a8"/>
        <w:tabs>
          <w:tab w:val="right" w:pos="8306"/>
        </w:tabs>
        <w:jc w:val="center"/>
        <w:rPr>
          <w:sz w:val="36"/>
          <w:szCs w:val="36"/>
        </w:rPr>
      </w:pPr>
      <w:r w:rsidRPr="008C3B24">
        <w:rPr>
          <w:sz w:val="36"/>
          <w:szCs w:val="36"/>
        </w:rPr>
        <w:t>Περιεχόμενα</w:t>
      </w:r>
    </w:p>
    <w:p w:rsidR="008E5EBB" w:rsidRDefault="008E5EBB" w:rsidP="008E5EBB"/>
    <w:p w:rsidR="00AF7368" w:rsidRDefault="00AE2FCC">
      <w:pPr>
        <w:pStyle w:val="10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r>
        <w:fldChar w:fldCharType="begin"/>
      </w:r>
      <w:r w:rsidR="008E5EBB">
        <w:instrText xml:space="preserve"> TOC \o "1-3" \h \z \u </w:instrText>
      </w:r>
      <w:r>
        <w:fldChar w:fldCharType="separate"/>
      </w:r>
      <w:hyperlink w:anchor="_Toc365980341" w:history="1">
        <w:r w:rsidR="00AF7368" w:rsidRPr="00AD06A5">
          <w:rPr>
            <w:rStyle w:val="-"/>
            <w:i/>
            <w:noProof/>
          </w:rPr>
          <w:t>1.</w:t>
        </w:r>
        <w:r w:rsidR="00AF7368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AF7368" w:rsidRPr="00AD06A5">
          <w:rPr>
            <w:rStyle w:val="-"/>
            <w:i/>
            <w:noProof/>
          </w:rPr>
          <w:t>Εισαγωγή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10"/>
        <w:tabs>
          <w:tab w:val="left" w:pos="440"/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2" w:history="1">
        <w:r w:rsidR="00AF7368" w:rsidRPr="00AD06A5">
          <w:rPr>
            <w:rStyle w:val="-"/>
            <w:i/>
            <w:noProof/>
          </w:rPr>
          <w:t>2.</w:t>
        </w:r>
        <w:r w:rsidR="00AF7368">
          <w:rPr>
            <w:rFonts w:asciiTheme="minorHAnsi" w:eastAsiaTheme="minorEastAsia" w:hAnsiTheme="minorHAnsi" w:cstheme="minorBidi"/>
            <w:noProof/>
            <w:lang w:eastAsia="el-GR"/>
          </w:rPr>
          <w:tab/>
        </w:r>
        <w:r w:rsidR="00AF7368" w:rsidRPr="00AD06A5">
          <w:rPr>
            <w:rStyle w:val="-"/>
            <w:i/>
            <w:noProof/>
          </w:rPr>
          <w:t>Ποσοτική &amp; Ποιοτική Ανάλυση Δεδομένων Ελέγχου &amp; Πληρωμών Συντάξεων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3" w:history="1">
        <w:r w:rsidR="00AF7368" w:rsidRPr="00AD06A5">
          <w:rPr>
            <w:rStyle w:val="-"/>
            <w:noProof/>
          </w:rPr>
          <w:t>2.1  Μέσο Εισόδημα από συντάξεις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4" w:history="1">
        <w:r w:rsidR="00AF7368" w:rsidRPr="00AD06A5">
          <w:rPr>
            <w:rStyle w:val="-"/>
            <w:noProof/>
          </w:rPr>
          <w:t>2.2  Κατανομή Συνταξιούχων ανά Ηλικία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5" w:history="1">
        <w:r w:rsidR="00AF7368" w:rsidRPr="00AD06A5">
          <w:rPr>
            <w:rStyle w:val="-"/>
            <w:noProof/>
          </w:rPr>
          <w:t>2.3  Ανάλυση Συντάξεων ανά Κατηγορία και κλίμακα ποσού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6" w:history="1">
        <w:r w:rsidR="00AF7368" w:rsidRPr="00AD06A5">
          <w:rPr>
            <w:rStyle w:val="-"/>
            <w:noProof/>
          </w:rPr>
          <w:t>2.4  Γεωγραφική κατανομή συντάξεων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7" w:history="1">
        <w:r w:rsidR="00AF7368" w:rsidRPr="00AD06A5">
          <w:rPr>
            <w:rStyle w:val="-"/>
            <w:noProof/>
          </w:rPr>
          <w:t>ΠΑΡΑΡΤΗΜΑ -ΠΙΝΑΚΕΣ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8" w:history="1">
        <w:r w:rsidR="00AF7368" w:rsidRPr="00AD06A5">
          <w:rPr>
            <w:rStyle w:val="-"/>
            <w:noProof/>
          </w:rPr>
          <w:t>Α. Κατανομή συντάξεων ανά ταμείο και κατηγορία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49" w:history="1">
        <w:r w:rsidR="00AF7368" w:rsidRPr="00AD06A5">
          <w:rPr>
            <w:rStyle w:val="-"/>
            <w:noProof/>
          </w:rPr>
          <w:t>Β. Κατανομή συντάξεων ανά νομό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F7368" w:rsidRDefault="00AE2FC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365980350" w:history="1">
        <w:r w:rsidR="00AF7368" w:rsidRPr="00AD06A5">
          <w:rPr>
            <w:rStyle w:val="-"/>
            <w:noProof/>
          </w:rPr>
          <w:t>Γ. Κατανομή συντάξεων ανά υπηκοότητα</w:t>
        </w:r>
        <w:r w:rsidR="00AF7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7368">
          <w:rPr>
            <w:noProof/>
            <w:webHidden/>
          </w:rPr>
          <w:instrText xml:space="preserve"> PAGEREF _Toc365980350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7B7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E5EBB" w:rsidRDefault="00AE2FCC">
      <w:r>
        <w:fldChar w:fldCharType="end"/>
      </w:r>
    </w:p>
    <w:p w:rsidR="000A75D6" w:rsidRDefault="000A75D6">
      <w:pPr>
        <w:rPr>
          <w:lang w:val="en-US"/>
        </w:rPr>
      </w:pPr>
    </w:p>
    <w:p w:rsidR="000A75D6" w:rsidRDefault="000A75D6" w:rsidP="005D2C39">
      <w:pPr>
        <w:ind w:firstLine="720"/>
        <w:rPr>
          <w:lang w:val="en-US"/>
        </w:rPr>
      </w:pPr>
    </w:p>
    <w:p w:rsidR="000A75D6" w:rsidRDefault="000A75D6">
      <w:pPr>
        <w:rPr>
          <w:lang w:val="en-US"/>
        </w:rPr>
      </w:pPr>
    </w:p>
    <w:p w:rsidR="000A75D6" w:rsidRDefault="000A75D6">
      <w:pPr>
        <w:rPr>
          <w:lang w:val="en-US"/>
        </w:rPr>
      </w:pPr>
    </w:p>
    <w:p w:rsidR="000A75D6" w:rsidRDefault="000A75D6">
      <w:pPr>
        <w:rPr>
          <w:lang w:val="en-US"/>
        </w:rPr>
      </w:pPr>
    </w:p>
    <w:p w:rsidR="000A75D6" w:rsidRDefault="000A75D6"/>
    <w:p w:rsidR="0085177C" w:rsidRPr="0085177C" w:rsidRDefault="0085177C"/>
    <w:p w:rsidR="000A75D6" w:rsidRDefault="000A75D6">
      <w:pPr>
        <w:rPr>
          <w:lang w:val="en-US"/>
        </w:rPr>
      </w:pPr>
    </w:p>
    <w:p w:rsidR="000A75D6" w:rsidRDefault="000A75D6">
      <w:pPr>
        <w:rPr>
          <w:lang w:val="en-US"/>
        </w:rPr>
      </w:pPr>
    </w:p>
    <w:p w:rsidR="000A75D6" w:rsidRDefault="000A75D6"/>
    <w:p w:rsidR="00302649" w:rsidRPr="00302649" w:rsidRDefault="00302649"/>
    <w:p w:rsidR="00992CA7" w:rsidRDefault="00992CA7">
      <w:pPr>
        <w:spacing w:after="0" w:line="240" w:lineRule="auto"/>
      </w:pPr>
      <w:bookmarkStart w:id="0" w:name="_Toc355082966"/>
      <w:r>
        <w:br w:type="page"/>
      </w:r>
    </w:p>
    <w:p w:rsidR="00164BAE" w:rsidRDefault="00A73C2B" w:rsidP="00164BAE">
      <w:pPr>
        <w:pStyle w:val="1"/>
        <w:numPr>
          <w:ilvl w:val="0"/>
          <w:numId w:val="3"/>
        </w:numPr>
        <w:pBdr>
          <w:bottom w:val="single" w:sz="4" w:space="1" w:color="4F81BD"/>
        </w:pBdr>
        <w:rPr>
          <w:rFonts w:ascii="Calibri" w:hAnsi="Calibri"/>
          <w:i/>
        </w:rPr>
      </w:pPr>
      <w:bookmarkStart w:id="1" w:name="_Toc365980341"/>
      <w:bookmarkEnd w:id="0"/>
      <w:r>
        <w:rPr>
          <w:rFonts w:ascii="Calibri" w:hAnsi="Calibri"/>
          <w:i/>
        </w:rPr>
        <w:lastRenderedPageBreak/>
        <w:t>Εισαγωγή</w:t>
      </w:r>
      <w:bookmarkEnd w:id="1"/>
    </w:p>
    <w:p w:rsidR="001E49CB" w:rsidRDefault="001E49CB">
      <w:pPr>
        <w:spacing w:after="0" w:line="240" w:lineRule="auto"/>
        <w:rPr>
          <w:b/>
          <w:bCs/>
          <w:szCs w:val="24"/>
        </w:rPr>
      </w:pPr>
    </w:p>
    <w:p w:rsidR="007A4E92" w:rsidRDefault="001E49CB" w:rsidP="001E49CB">
      <w:pPr>
        <w:jc w:val="both"/>
        <w:rPr>
          <w:b/>
        </w:rPr>
      </w:pPr>
      <w:r w:rsidRPr="001E49CB">
        <w:t xml:space="preserve">Η </w:t>
      </w:r>
      <w:r w:rsidR="00112F91">
        <w:t>τέταρτη</w:t>
      </w:r>
      <w:r w:rsidRPr="001E49CB">
        <w:t xml:space="preserve"> μηνιαία έκθεση του Ενιαίου Συστήματος Ελέγχ</w:t>
      </w:r>
      <w:r w:rsidR="00EF39D3">
        <w:t xml:space="preserve">ου και Πληρωμών Συντάξεων </w:t>
      </w:r>
      <w:r w:rsidR="000D0195">
        <w:t>«ΗΛΙΟΣ</w:t>
      </w:r>
      <w:r w:rsidRPr="001E49CB">
        <w:t xml:space="preserve">» αποτυπώνει την εικόνα των συνταξιοδοτικών παροχών της χώρας για το μήνα </w:t>
      </w:r>
      <w:r w:rsidR="00112F91">
        <w:rPr>
          <w:b/>
        </w:rPr>
        <w:t>Σεπτέμβριο</w:t>
      </w:r>
      <w:r w:rsidR="0034513F">
        <w:rPr>
          <w:b/>
        </w:rPr>
        <w:t xml:space="preserve"> </w:t>
      </w:r>
      <w:r w:rsidRPr="000D0195">
        <w:rPr>
          <w:b/>
        </w:rPr>
        <w:t>του 2013</w:t>
      </w:r>
      <w:r w:rsidR="00992CA7" w:rsidRPr="000D0195">
        <w:rPr>
          <w:b/>
        </w:rPr>
        <w:t>.</w:t>
      </w:r>
    </w:p>
    <w:p w:rsidR="008C7A76" w:rsidRDefault="002D6822" w:rsidP="001E49CB">
      <w:pPr>
        <w:jc w:val="both"/>
        <w:rPr>
          <w:bCs/>
          <w:szCs w:val="24"/>
        </w:rPr>
      </w:pPr>
      <w:r w:rsidRPr="00281179">
        <w:rPr>
          <w:bCs/>
          <w:szCs w:val="24"/>
        </w:rPr>
        <w:t>Επίσης,</w:t>
      </w:r>
      <w:r w:rsidR="00865436">
        <w:rPr>
          <w:bCs/>
          <w:szCs w:val="24"/>
        </w:rPr>
        <w:t xml:space="preserve"> </w:t>
      </w:r>
      <w:r w:rsidR="00AF021B">
        <w:rPr>
          <w:bCs/>
          <w:szCs w:val="24"/>
        </w:rPr>
        <w:t>από το σύστημα</w:t>
      </w:r>
      <w:r w:rsidR="00353080">
        <w:rPr>
          <w:bCs/>
          <w:szCs w:val="24"/>
        </w:rPr>
        <w:t xml:space="preserve"> </w:t>
      </w:r>
      <w:r w:rsidR="006E7B7E">
        <w:rPr>
          <w:bCs/>
          <w:szCs w:val="24"/>
        </w:rPr>
        <w:t>«ΑΡΙΑΔΝΗ»</w:t>
      </w:r>
      <w:r w:rsidR="008C7A76" w:rsidRPr="00281179">
        <w:rPr>
          <w:bCs/>
          <w:szCs w:val="24"/>
        </w:rPr>
        <w:t xml:space="preserve"> </w:t>
      </w:r>
      <w:r w:rsidR="00AF021B">
        <w:rPr>
          <w:bCs/>
          <w:szCs w:val="24"/>
        </w:rPr>
        <w:t xml:space="preserve">αναγγέλθηκαν </w:t>
      </w:r>
      <w:r w:rsidR="00FC054C" w:rsidRPr="006E7B7E">
        <w:rPr>
          <w:b/>
          <w:bCs/>
          <w:szCs w:val="24"/>
        </w:rPr>
        <w:t>9</w:t>
      </w:r>
      <w:r w:rsidR="004A6881" w:rsidRPr="006E7B7E">
        <w:rPr>
          <w:b/>
          <w:bCs/>
          <w:szCs w:val="24"/>
        </w:rPr>
        <w:t>.</w:t>
      </w:r>
      <w:r w:rsidR="00FC054C" w:rsidRPr="006E7B7E">
        <w:rPr>
          <w:b/>
          <w:bCs/>
          <w:szCs w:val="24"/>
        </w:rPr>
        <w:t>304</w:t>
      </w:r>
      <w:r w:rsidR="00FC054C">
        <w:rPr>
          <w:bCs/>
          <w:szCs w:val="24"/>
        </w:rPr>
        <w:t xml:space="preserve"> </w:t>
      </w:r>
      <w:r w:rsidR="008C7A76" w:rsidRPr="00281179">
        <w:rPr>
          <w:bCs/>
          <w:szCs w:val="24"/>
        </w:rPr>
        <w:t>θάνατοι συνταξιούχων με αποτέλεσμα την αναγγελία αναστολής</w:t>
      </w:r>
      <w:r w:rsidR="00FC054C">
        <w:rPr>
          <w:bCs/>
          <w:szCs w:val="24"/>
        </w:rPr>
        <w:t xml:space="preserve"> </w:t>
      </w:r>
      <w:r w:rsidR="00FC054C" w:rsidRPr="006E7B7E">
        <w:rPr>
          <w:b/>
          <w:bCs/>
          <w:szCs w:val="24"/>
        </w:rPr>
        <w:t>8</w:t>
      </w:r>
      <w:r w:rsidR="006E7B7E">
        <w:rPr>
          <w:b/>
          <w:bCs/>
          <w:szCs w:val="24"/>
        </w:rPr>
        <w:t>.</w:t>
      </w:r>
      <w:r w:rsidR="00CE668D">
        <w:rPr>
          <w:b/>
          <w:bCs/>
          <w:szCs w:val="24"/>
        </w:rPr>
        <w:t>526</w:t>
      </w:r>
      <w:r w:rsidR="00AF021B">
        <w:rPr>
          <w:b/>
          <w:bCs/>
          <w:szCs w:val="24"/>
        </w:rPr>
        <w:t xml:space="preserve"> </w:t>
      </w:r>
      <w:r w:rsidR="008C7A76" w:rsidRPr="00281179">
        <w:rPr>
          <w:bCs/>
          <w:szCs w:val="24"/>
        </w:rPr>
        <w:t>συντάξεων.</w:t>
      </w:r>
      <w:r w:rsidR="008C7A76">
        <w:rPr>
          <w:bCs/>
          <w:szCs w:val="24"/>
        </w:rPr>
        <w:t xml:space="preserve"> </w:t>
      </w:r>
    </w:p>
    <w:p w:rsidR="00FC054C" w:rsidRPr="008D60F3" w:rsidRDefault="00BE0EBB" w:rsidP="008D60F3">
      <w:pPr>
        <w:jc w:val="both"/>
        <w:rPr>
          <w:bCs/>
          <w:szCs w:val="24"/>
        </w:rPr>
      </w:pPr>
      <w:r>
        <w:rPr>
          <w:bCs/>
          <w:szCs w:val="24"/>
        </w:rPr>
        <w:t xml:space="preserve">Στο πλαίσιο της </w:t>
      </w:r>
      <w:r w:rsidR="00112F91">
        <w:rPr>
          <w:bCs/>
          <w:szCs w:val="24"/>
        </w:rPr>
        <w:t>τέταρτης</w:t>
      </w:r>
      <w:r>
        <w:rPr>
          <w:bCs/>
          <w:szCs w:val="24"/>
        </w:rPr>
        <w:t xml:space="preserve"> επεξεργασίας </w:t>
      </w:r>
      <w:r w:rsidR="0014781F">
        <w:rPr>
          <w:bCs/>
          <w:szCs w:val="24"/>
        </w:rPr>
        <w:t xml:space="preserve">στοιχείων, </w:t>
      </w:r>
      <w:r w:rsidR="00DD6D91">
        <w:rPr>
          <w:bCs/>
          <w:szCs w:val="24"/>
        </w:rPr>
        <w:t>εμπλουτίστηκαν τα στατιστικά δεδομένα με την αποτύπωση της ηλικιακής κατανομής των συνταξιούχων και του μέσου εισοδήματος ανά ηλικία.</w:t>
      </w:r>
      <w:r w:rsidR="00A153AF">
        <w:rPr>
          <w:bCs/>
          <w:szCs w:val="24"/>
        </w:rPr>
        <w:t xml:space="preserve"> </w:t>
      </w:r>
      <w:r w:rsidR="00FC054C" w:rsidRPr="008D60F3">
        <w:rPr>
          <w:bCs/>
          <w:szCs w:val="24"/>
        </w:rPr>
        <w:t>Επισημαίνεται</w:t>
      </w:r>
      <w:r w:rsidR="00D7164F" w:rsidRPr="008D60F3">
        <w:rPr>
          <w:bCs/>
          <w:szCs w:val="24"/>
        </w:rPr>
        <w:t xml:space="preserve">, </w:t>
      </w:r>
      <w:r w:rsidR="00FC054C" w:rsidRPr="008D60F3">
        <w:rPr>
          <w:bCs/>
          <w:szCs w:val="24"/>
        </w:rPr>
        <w:t>πως λόγω  σφαλμάτων</w:t>
      </w:r>
      <w:r w:rsidR="00D7164F" w:rsidRPr="008D60F3">
        <w:rPr>
          <w:bCs/>
          <w:szCs w:val="24"/>
        </w:rPr>
        <w:t xml:space="preserve"> που εντοπίστηκαν</w:t>
      </w:r>
      <w:r w:rsidR="00FC054C" w:rsidRPr="008D60F3">
        <w:rPr>
          <w:bCs/>
          <w:szCs w:val="24"/>
        </w:rPr>
        <w:t xml:space="preserve"> </w:t>
      </w:r>
      <w:r w:rsidR="0014781F" w:rsidRPr="008D60F3">
        <w:rPr>
          <w:bCs/>
          <w:szCs w:val="24"/>
        </w:rPr>
        <w:t>στο π</w:t>
      </w:r>
      <w:r w:rsidR="00F008DC" w:rsidRPr="008D60F3">
        <w:rPr>
          <w:bCs/>
          <w:szCs w:val="24"/>
        </w:rPr>
        <w:t>εδίο που αφορά στην η</w:t>
      </w:r>
      <w:r w:rsidR="00E0759F" w:rsidRPr="008D60F3">
        <w:rPr>
          <w:bCs/>
          <w:szCs w:val="24"/>
        </w:rPr>
        <w:t xml:space="preserve">μερομηνία γέννησης </w:t>
      </w:r>
      <w:r w:rsidR="00D7164F" w:rsidRPr="008D60F3">
        <w:rPr>
          <w:bCs/>
          <w:szCs w:val="24"/>
        </w:rPr>
        <w:t>στα αρχεία</w:t>
      </w:r>
      <w:r w:rsidR="00FC054C" w:rsidRPr="008D60F3">
        <w:rPr>
          <w:bCs/>
          <w:szCs w:val="24"/>
        </w:rPr>
        <w:t xml:space="preserve"> που </w:t>
      </w:r>
      <w:r w:rsidR="00D7164F" w:rsidRPr="008D60F3">
        <w:rPr>
          <w:bCs/>
          <w:szCs w:val="24"/>
        </w:rPr>
        <w:t>ε</w:t>
      </w:r>
      <w:r w:rsidR="00FC054C" w:rsidRPr="008D60F3">
        <w:rPr>
          <w:bCs/>
          <w:szCs w:val="24"/>
        </w:rPr>
        <w:t>λήφ</w:t>
      </w:r>
      <w:r w:rsidR="00D7164F" w:rsidRPr="008D60F3">
        <w:rPr>
          <w:bCs/>
          <w:szCs w:val="24"/>
        </w:rPr>
        <w:t xml:space="preserve">θησαν από τα Ασφαλιστικά Ταμεία, </w:t>
      </w:r>
      <w:r w:rsidR="00FC054C" w:rsidRPr="008D60F3">
        <w:rPr>
          <w:bCs/>
          <w:szCs w:val="24"/>
        </w:rPr>
        <w:t xml:space="preserve">τα </w:t>
      </w:r>
      <w:r w:rsidR="00D7164F" w:rsidRPr="008D60F3">
        <w:rPr>
          <w:bCs/>
          <w:szCs w:val="24"/>
        </w:rPr>
        <w:t xml:space="preserve">δεδομένα </w:t>
      </w:r>
      <w:r w:rsidR="00FC054C" w:rsidRPr="008D60F3">
        <w:rPr>
          <w:bCs/>
          <w:szCs w:val="24"/>
        </w:rPr>
        <w:t xml:space="preserve">για την ηλικία </w:t>
      </w:r>
      <w:r w:rsidR="00D7164F" w:rsidRPr="008D60F3">
        <w:rPr>
          <w:bCs/>
          <w:szCs w:val="24"/>
        </w:rPr>
        <w:t xml:space="preserve">των συνταξιούχων </w:t>
      </w:r>
      <w:r w:rsidR="00FC054C" w:rsidRPr="008D60F3">
        <w:rPr>
          <w:bCs/>
          <w:szCs w:val="24"/>
        </w:rPr>
        <w:t>αντλήθηκαν σε μεγάλο ποσοστό από την εφαρμογή του ΑΜΚΑ που διαθέτει η Η.ΔΙ.Κ.Α.</w:t>
      </w:r>
      <w:r w:rsidR="00C034C5" w:rsidRPr="008D60F3">
        <w:rPr>
          <w:bCs/>
          <w:szCs w:val="24"/>
        </w:rPr>
        <w:t xml:space="preserve"> Α.Ε.</w:t>
      </w:r>
    </w:p>
    <w:p w:rsidR="001E49CB" w:rsidRDefault="00BE0EBB" w:rsidP="00BE0EBB">
      <w:pPr>
        <w:jc w:val="both"/>
        <w:rPr>
          <w:b/>
          <w:bCs/>
          <w:szCs w:val="24"/>
        </w:rPr>
      </w:pPr>
      <w:r>
        <w:rPr>
          <w:bCs/>
          <w:szCs w:val="24"/>
        </w:rPr>
        <w:t xml:space="preserve">Η </w:t>
      </w:r>
      <w:r w:rsidR="00B946F1" w:rsidRPr="00A307B1">
        <w:rPr>
          <w:b/>
          <w:bCs/>
          <w:szCs w:val="24"/>
        </w:rPr>
        <w:t>τέτ</w:t>
      </w:r>
      <w:r w:rsidR="00112F91" w:rsidRPr="00A307B1">
        <w:rPr>
          <w:b/>
          <w:bCs/>
          <w:szCs w:val="24"/>
        </w:rPr>
        <w:t>αρτη</w:t>
      </w:r>
      <w:r w:rsidRPr="00A307B1">
        <w:rPr>
          <w:b/>
          <w:bCs/>
          <w:szCs w:val="24"/>
        </w:rPr>
        <w:t xml:space="preserve"> έκθεση</w:t>
      </w:r>
      <w:r>
        <w:rPr>
          <w:bCs/>
          <w:szCs w:val="24"/>
        </w:rPr>
        <w:t xml:space="preserve"> είναι δομημένη σε</w:t>
      </w:r>
      <w:r w:rsidR="00A153AF">
        <w:rPr>
          <w:bCs/>
          <w:szCs w:val="24"/>
        </w:rPr>
        <w:t xml:space="preserve"> 4</w:t>
      </w:r>
      <w:r w:rsidR="004D5AF8">
        <w:rPr>
          <w:bCs/>
          <w:szCs w:val="24"/>
        </w:rPr>
        <w:t xml:space="preserve"> επιμέρους ενότητες όσον αφορά στην ποιοτική και ποσοτική ανάλυση των δε</w:t>
      </w:r>
      <w:r w:rsidR="007667DD">
        <w:rPr>
          <w:bCs/>
          <w:szCs w:val="24"/>
        </w:rPr>
        <w:t xml:space="preserve">δομένων. </w:t>
      </w:r>
      <w:r w:rsidR="004D5AF8">
        <w:rPr>
          <w:bCs/>
          <w:szCs w:val="24"/>
        </w:rPr>
        <w:t xml:space="preserve">Η πρώτη υποενότητα </w:t>
      </w:r>
      <w:r w:rsidR="00A34413">
        <w:rPr>
          <w:bCs/>
          <w:szCs w:val="24"/>
        </w:rPr>
        <w:t xml:space="preserve">περιλαμβάνει </w:t>
      </w:r>
      <w:r w:rsidR="004D5AF8">
        <w:rPr>
          <w:bCs/>
          <w:szCs w:val="24"/>
        </w:rPr>
        <w:t>στατιστικά στοιχεία των συνταξιούχων</w:t>
      </w:r>
      <w:r w:rsidR="007228F9">
        <w:rPr>
          <w:bCs/>
          <w:szCs w:val="24"/>
        </w:rPr>
        <w:t xml:space="preserve"> </w:t>
      </w:r>
      <w:r w:rsidR="00A153AF">
        <w:rPr>
          <w:bCs/>
          <w:szCs w:val="24"/>
        </w:rPr>
        <w:t xml:space="preserve">και του μέσου εισοδήματος </w:t>
      </w:r>
      <w:r w:rsidR="00112F91">
        <w:rPr>
          <w:bCs/>
          <w:szCs w:val="24"/>
        </w:rPr>
        <w:t>για</w:t>
      </w:r>
      <w:r w:rsidR="0098176B">
        <w:rPr>
          <w:bCs/>
          <w:szCs w:val="24"/>
        </w:rPr>
        <w:t xml:space="preserve"> το τρίμηνο</w:t>
      </w:r>
      <w:r w:rsidR="0098176B" w:rsidRPr="0098176B">
        <w:rPr>
          <w:bCs/>
          <w:szCs w:val="24"/>
        </w:rPr>
        <w:t xml:space="preserve"> </w:t>
      </w:r>
      <w:r w:rsidR="007E10F1">
        <w:rPr>
          <w:bCs/>
          <w:szCs w:val="24"/>
        </w:rPr>
        <w:t xml:space="preserve">Ιούλιος, Αύγουστος, </w:t>
      </w:r>
      <w:r w:rsidR="00112F91">
        <w:rPr>
          <w:bCs/>
          <w:szCs w:val="24"/>
        </w:rPr>
        <w:t>Σεπτέμβριος</w:t>
      </w:r>
      <w:r w:rsidR="004D5AF8">
        <w:rPr>
          <w:bCs/>
          <w:szCs w:val="24"/>
        </w:rPr>
        <w:t xml:space="preserve">, η δεύτερη των </w:t>
      </w:r>
      <w:r w:rsidR="00DD6D91">
        <w:rPr>
          <w:bCs/>
          <w:szCs w:val="24"/>
        </w:rPr>
        <w:t xml:space="preserve">συνταξιούχων </w:t>
      </w:r>
      <w:r w:rsidR="00B534DE">
        <w:rPr>
          <w:bCs/>
          <w:szCs w:val="24"/>
        </w:rPr>
        <w:t xml:space="preserve">και του μέσου εισοδήματος </w:t>
      </w:r>
      <w:r w:rsidR="00DD6D91">
        <w:rPr>
          <w:bCs/>
          <w:szCs w:val="24"/>
        </w:rPr>
        <w:t>ανά ηλικία</w:t>
      </w:r>
      <w:r w:rsidR="009C331B">
        <w:rPr>
          <w:bCs/>
          <w:szCs w:val="24"/>
        </w:rPr>
        <w:t>,</w:t>
      </w:r>
      <w:r w:rsidR="009C331B" w:rsidRPr="009C331B">
        <w:rPr>
          <w:bCs/>
          <w:szCs w:val="24"/>
        </w:rPr>
        <w:t xml:space="preserve"> </w:t>
      </w:r>
      <w:r w:rsidR="00DD6D91">
        <w:rPr>
          <w:bCs/>
          <w:szCs w:val="24"/>
        </w:rPr>
        <w:t xml:space="preserve">η τρίτη των </w:t>
      </w:r>
      <w:r w:rsidR="004D5AF8">
        <w:rPr>
          <w:bCs/>
          <w:szCs w:val="24"/>
        </w:rPr>
        <w:t xml:space="preserve">συντάξεων και η </w:t>
      </w:r>
      <w:r w:rsidR="00DD6D91">
        <w:rPr>
          <w:bCs/>
          <w:szCs w:val="24"/>
        </w:rPr>
        <w:t>τέταρτη</w:t>
      </w:r>
      <w:r w:rsidR="004D5AF8">
        <w:rPr>
          <w:bCs/>
          <w:szCs w:val="24"/>
        </w:rPr>
        <w:t xml:space="preserve"> στοιχεία γεωγραφικής κατανομής. Στο παράρτημα</w:t>
      </w:r>
      <w:r w:rsidR="007756FF">
        <w:rPr>
          <w:bCs/>
          <w:szCs w:val="24"/>
        </w:rPr>
        <w:t>,</w:t>
      </w:r>
      <w:r w:rsidR="004D5AF8">
        <w:rPr>
          <w:bCs/>
          <w:szCs w:val="24"/>
        </w:rPr>
        <w:t xml:space="preserve"> αποτυπώνονται</w:t>
      </w:r>
      <w:r w:rsidR="00B534DE">
        <w:rPr>
          <w:bCs/>
          <w:szCs w:val="24"/>
        </w:rPr>
        <w:t xml:space="preserve"> </w:t>
      </w:r>
      <w:r w:rsidR="000D0195">
        <w:rPr>
          <w:bCs/>
          <w:szCs w:val="24"/>
        </w:rPr>
        <w:t>στοιχεία ανά κατηγορία σύνταξης και</w:t>
      </w:r>
      <w:r w:rsidR="004D5AF8">
        <w:rPr>
          <w:bCs/>
          <w:szCs w:val="24"/>
        </w:rPr>
        <w:t xml:space="preserve"> κατανομή ανά ταμείο και ανά νομό</w:t>
      </w:r>
      <w:r w:rsidR="00C352F2">
        <w:rPr>
          <w:bCs/>
          <w:szCs w:val="24"/>
        </w:rPr>
        <w:t>, καθώς και η κατανομή των συντάξεων ανά εθνικότητα</w:t>
      </w:r>
      <w:r w:rsidR="00112F91">
        <w:rPr>
          <w:bCs/>
          <w:szCs w:val="24"/>
        </w:rPr>
        <w:t xml:space="preserve">. </w:t>
      </w:r>
      <w:r w:rsidR="001E49CB">
        <w:rPr>
          <w:b/>
          <w:bCs/>
          <w:szCs w:val="24"/>
        </w:rPr>
        <w:br w:type="page"/>
      </w:r>
    </w:p>
    <w:p w:rsidR="00854BE9" w:rsidRDefault="00854BE9" w:rsidP="00854BE9">
      <w:pPr>
        <w:pStyle w:val="1"/>
        <w:numPr>
          <w:ilvl w:val="0"/>
          <w:numId w:val="3"/>
        </w:numPr>
        <w:pBdr>
          <w:bottom w:val="single" w:sz="4" w:space="1" w:color="4F81BD"/>
        </w:pBdr>
        <w:rPr>
          <w:rFonts w:ascii="Calibri" w:hAnsi="Calibri"/>
          <w:i/>
        </w:rPr>
      </w:pPr>
      <w:bookmarkStart w:id="2" w:name="_Toc355082968"/>
      <w:bookmarkStart w:id="3" w:name="_Toc365980342"/>
      <w:r>
        <w:rPr>
          <w:rFonts w:ascii="Calibri" w:hAnsi="Calibri"/>
          <w:i/>
        </w:rPr>
        <w:lastRenderedPageBreak/>
        <w:t xml:space="preserve">Ποσοτική &amp; Ποιοτική Ανάλυση </w:t>
      </w:r>
      <w:r w:rsidR="00BB4FDE">
        <w:rPr>
          <w:rFonts w:ascii="Calibri" w:hAnsi="Calibri"/>
          <w:i/>
        </w:rPr>
        <w:t>Δεδομένων Ελέγχου &amp; Πληρωμών Συντάξεων</w:t>
      </w:r>
      <w:bookmarkEnd w:id="2"/>
      <w:bookmarkEnd w:id="3"/>
      <w:r w:rsidR="00BB4FDE">
        <w:rPr>
          <w:rFonts w:ascii="Calibri" w:hAnsi="Calibri"/>
          <w:i/>
        </w:rPr>
        <w:t xml:space="preserve"> </w:t>
      </w:r>
    </w:p>
    <w:p w:rsidR="00747DE6" w:rsidRDefault="00747DE6" w:rsidP="00747DE6">
      <w:pPr>
        <w:pStyle w:val="2"/>
        <w:spacing w:line="360" w:lineRule="auto"/>
        <w:rPr>
          <w:rFonts w:ascii="Calibri" w:hAnsi="Calibri"/>
          <w:color w:val="1F497D"/>
          <w:sz w:val="24"/>
          <w:szCs w:val="24"/>
        </w:rPr>
      </w:pPr>
      <w:bookmarkStart w:id="4" w:name="_Toc358215338"/>
      <w:bookmarkStart w:id="5" w:name="_Toc365980343"/>
      <w:r>
        <w:rPr>
          <w:rFonts w:ascii="Calibri" w:hAnsi="Calibri"/>
          <w:color w:val="1F497D"/>
          <w:sz w:val="24"/>
          <w:szCs w:val="24"/>
        </w:rPr>
        <w:t>2</w:t>
      </w:r>
      <w:r w:rsidRPr="005E5F8B">
        <w:rPr>
          <w:rFonts w:ascii="Calibri" w:hAnsi="Calibri"/>
          <w:color w:val="1F497D"/>
          <w:sz w:val="24"/>
          <w:szCs w:val="24"/>
        </w:rPr>
        <w:t>.</w:t>
      </w:r>
      <w:r w:rsidRPr="00A57AFF">
        <w:rPr>
          <w:rFonts w:ascii="Calibri" w:hAnsi="Calibri"/>
          <w:color w:val="1F497D"/>
          <w:sz w:val="24"/>
          <w:szCs w:val="24"/>
        </w:rPr>
        <w:t xml:space="preserve">1 </w:t>
      </w:r>
      <w:r>
        <w:rPr>
          <w:rFonts w:ascii="Calibri" w:hAnsi="Calibri"/>
          <w:color w:val="1F497D"/>
          <w:sz w:val="24"/>
          <w:szCs w:val="24"/>
        </w:rPr>
        <w:t xml:space="preserve"> Μέσο Εισόδημα από συντάξεις</w:t>
      </w:r>
      <w:bookmarkEnd w:id="4"/>
      <w:bookmarkEnd w:id="5"/>
      <w:r>
        <w:rPr>
          <w:rFonts w:ascii="Calibri" w:hAnsi="Calibri"/>
          <w:color w:val="1F497D"/>
          <w:sz w:val="24"/>
          <w:szCs w:val="24"/>
        </w:rPr>
        <w:t xml:space="preserve"> </w:t>
      </w:r>
    </w:p>
    <w:p w:rsidR="00747DE6" w:rsidRDefault="00B472D9" w:rsidP="00FD7601">
      <w:pPr>
        <w:jc w:val="both"/>
      </w:pPr>
      <w:r>
        <w:t>Από τ</w:t>
      </w:r>
      <w:r w:rsidR="004D50D3">
        <w:t>η</w:t>
      </w:r>
      <w:r w:rsidR="008C58F6">
        <w:t xml:space="preserve">ν επεξεργασία των στοιχείων </w:t>
      </w:r>
      <w:r>
        <w:t>των συντάξεων του</w:t>
      </w:r>
      <w:r w:rsidR="00F65601">
        <w:t xml:space="preserve"> </w:t>
      </w:r>
      <w:r w:rsidR="00A03A44">
        <w:t>Σεπτεμβρίου</w:t>
      </w:r>
      <w:r w:rsidR="002F0DBC">
        <w:t xml:space="preserve"> του 2013 </w:t>
      </w:r>
      <w:r>
        <w:t xml:space="preserve">προέκυψε ότι ο </w:t>
      </w:r>
      <w:r w:rsidR="00747DE6">
        <w:t xml:space="preserve"> αριθμός των συνταξιούχων </w:t>
      </w:r>
      <w:r w:rsidR="0028611E">
        <w:t xml:space="preserve">της χώρας </w:t>
      </w:r>
      <w:r w:rsidR="004D50D3">
        <w:t>αν</w:t>
      </w:r>
      <w:r>
        <w:t xml:space="preserve">έρχεται </w:t>
      </w:r>
      <w:r w:rsidR="00747DE6">
        <w:t xml:space="preserve">σε </w:t>
      </w:r>
      <w:r w:rsidR="00747DE6" w:rsidRPr="00F65601">
        <w:rPr>
          <w:b/>
        </w:rPr>
        <w:t>2.</w:t>
      </w:r>
      <w:r w:rsidR="009753D2">
        <w:rPr>
          <w:b/>
        </w:rPr>
        <w:t>7</w:t>
      </w:r>
      <w:r w:rsidR="007B0EA3">
        <w:rPr>
          <w:b/>
        </w:rPr>
        <w:t>06.924</w:t>
      </w:r>
      <w:r w:rsidR="00F65601">
        <w:rPr>
          <w:b/>
        </w:rPr>
        <w:t xml:space="preserve"> </w:t>
      </w:r>
      <w:r w:rsidR="00747DE6">
        <w:t>και το μέσο εισόδημα των συνταξιούχων</w:t>
      </w:r>
      <w:r w:rsidR="006A7982">
        <w:t xml:space="preserve"> </w:t>
      </w:r>
      <w:r w:rsidR="000A27E7">
        <w:t xml:space="preserve">γήρατος σε </w:t>
      </w:r>
      <w:r w:rsidR="007B0EA3">
        <w:rPr>
          <w:b/>
        </w:rPr>
        <w:t>921,15</w:t>
      </w:r>
      <w:r w:rsidR="00747DE6" w:rsidRPr="002F0DBC">
        <w:rPr>
          <w:b/>
        </w:rPr>
        <w:t>€</w:t>
      </w:r>
      <w:r w:rsidR="00670923">
        <w:t xml:space="preserve"> (προ </w:t>
      </w:r>
      <w:r w:rsidR="00747DE6">
        <w:t>φόρου και κρατ</w:t>
      </w:r>
      <w:r w:rsidR="004A171E">
        <w:t xml:space="preserve">ήσεων υγειονομικής περίθαλψης). </w:t>
      </w:r>
      <w:r w:rsidR="00747DE6">
        <w:t>Αναλυτικά στοι</w:t>
      </w:r>
      <w:r w:rsidR="00E4659B">
        <w:t>χεία αποτυπώνονται στους πίνακες 1 και 2 που ακολουθούν</w:t>
      </w:r>
      <w:r w:rsidR="00747DE6">
        <w:t>.</w:t>
      </w:r>
    </w:p>
    <w:tbl>
      <w:tblPr>
        <w:tblW w:w="0" w:type="auto"/>
        <w:jc w:val="center"/>
        <w:tblInd w:w="-565" w:type="dxa"/>
        <w:tblLayout w:type="fixed"/>
        <w:tblLook w:val="04A0"/>
      </w:tblPr>
      <w:tblGrid>
        <w:gridCol w:w="2579"/>
        <w:gridCol w:w="1393"/>
        <w:gridCol w:w="1842"/>
        <w:gridCol w:w="1956"/>
      </w:tblGrid>
      <w:tr w:rsidR="007F2137" w:rsidTr="00702C96">
        <w:trPr>
          <w:trHeight w:val="229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noWrap/>
            <w:hideMark/>
          </w:tcPr>
          <w:p w:rsidR="007F2137" w:rsidRPr="00B164BD" w:rsidRDefault="007F2137" w:rsidP="00B27C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B164BD">
              <w:rPr>
                <w:rFonts w:eastAsia="Times New Roman"/>
                <w:b/>
                <w:bCs/>
                <w:color w:val="FFFFFF"/>
                <w:lang w:eastAsia="el-GR"/>
              </w:rPr>
              <w:t>Κατηγορία Συνταξιούχων</w:t>
            </w: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hideMark/>
          </w:tcPr>
          <w:p w:rsidR="007F2137" w:rsidRDefault="007F2137" w:rsidP="00B27C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Πλήθος Συνταξιούχων</w:t>
            </w:r>
          </w:p>
        </w:tc>
      </w:tr>
      <w:tr w:rsidR="00B27C57" w:rsidTr="00702C96">
        <w:trPr>
          <w:trHeight w:val="263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hideMark/>
          </w:tcPr>
          <w:p w:rsidR="00B27C57" w:rsidRPr="00B164BD" w:rsidRDefault="00B27C57" w:rsidP="00B27C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hideMark/>
          </w:tcPr>
          <w:p w:rsidR="00B27C57" w:rsidRDefault="00B27C57" w:rsidP="00B27C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Ιούλιος 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B27C57" w:rsidRDefault="00B27C57" w:rsidP="00B27C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Αύγουστος 2013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B27C57" w:rsidRDefault="00702C96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 xml:space="preserve">Σεπτέμβριος </w:t>
            </w:r>
            <w:r w:rsidR="00B27C57">
              <w:rPr>
                <w:rFonts w:eastAsia="Times New Roman"/>
                <w:b/>
                <w:bCs/>
                <w:color w:val="FFFFFF"/>
                <w:lang w:eastAsia="el-GR"/>
              </w:rPr>
              <w:t xml:space="preserve"> 2013</w:t>
            </w:r>
          </w:p>
        </w:tc>
      </w:tr>
      <w:tr w:rsidR="00B27C57" w:rsidTr="00702C96">
        <w:trPr>
          <w:trHeight w:val="365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EE4687" w:rsidRDefault="00B27C57" w:rsidP="00702C96">
            <w:pPr>
              <w:spacing w:before="120" w:after="0"/>
              <w:ind w:right="-107"/>
              <w:rPr>
                <w:rFonts w:eastAsia="Times New Roman"/>
                <w:color w:val="000000"/>
                <w:lang w:eastAsia="el-GR"/>
              </w:rPr>
            </w:pPr>
            <w:r w:rsidRPr="00EE4687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2.040.297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2.033.842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2.035.564</w:t>
            </w:r>
          </w:p>
        </w:tc>
      </w:tr>
      <w:tr w:rsidR="00B27C57" w:rsidTr="00702C96">
        <w:trPr>
          <w:trHeight w:val="32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EE4687" w:rsidRDefault="00B27C57" w:rsidP="00702C96">
            <w:pPr>
              <w:spacing w:before="120" w:after="0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Θανάτου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377.409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376.264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702C96" w:rsidP="002F7E51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373.279</w:t>
            </w:r>
          </w:p>
        </w:tc>
      </w:tr>
      <w:tr w:rsidR="00B27C57" w:rsidTr="00702C96">
        <w:trPr>
          <w:trHeight w:val="28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EE4687" w:rsidRDefault="00B27C57" w:rsidP="00702C96">
            <w:pPr>
              <w:spacing w:before="120" w:after="0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Αναπηρίας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231.699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233.253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702C96" w:rsidP="002F7E51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234.592</w:t>
            </w:r>
          </w:p>
        </w:tc>
      </w:tr>
      <w:tr w:rsidR="00B27C57" w:rsidTr="00A03A44">
        <w:trPr>
          <w:trHeight w:val="482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EE4687" w:rsidRDefault="00B27C57" w:rsidP="00702C96">
            <w:pPr>
              <w:spacing w:before="120" w:after="0"/>
              <w:ind w:right="-107"/>
              <w:rPr>
                <w:rFonts w:eastAsia="Times New Roman"/>
                <w:color w:val="000000"/>
                <w:lang w:eastAsia="el-GR"/>
              </w:rPr>
            </w:pPr>
            <w:r w:rsidRPr="00EE4687">
              <w:rPr>
                <w:rFonts w:eastAsia="Times New Roman"/>
                <w:color w:val="000000"/>
                <w:lang w:eastAsia="el-GR"/>
              </w:rPr>
              <w:t>Ανασφάλιστων  Υπερηλίκων ΟΓΑ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40.304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40.161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702C96" w:rsidP="002F7E51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39.249</w:t>
            </w:r>
          </w:p>
        </w:tc>
      </w:tr>
      <w:tr w:rsidR="00B27C57" w:rsidTr="00702C96">
        <w:trPr>
          <w:trHeight w:val="289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EE4687" w:rsidRDefault="00B27C57" w:rsidP="00702C96">
            <w:pPr>
              <w:spacing w:before="120" w:after="0"/>
              <w:ind w:right="-58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Χωρίς  Ένδειξη Κατηγορίας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24.482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21.207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702C96" w:rsidP="002F7E51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24.240</w:t>
            </w:r>
          </w:p>
        </w:tc>
      </w:tr>
      <w:tr w:rsidR="00B27C57" w:rsidTr="00702C96">
        <w:trPr>
          <w:trHeight w:val="38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Pr="00811C57" w:rsidRDefault="00B27C57" w:rsidP="00702C96">
            <w:pPr>
              <w:spacing w:before="120" w:after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811C57"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C57" w:rsidRDefault="00B27C57" w:rsidP="00B27C57">
            <w:pPr>
              <w:spacing w:before="12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2.714.191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B27C57" w:rsidP="00B27C57">
            <w:pPr>
              <w:spacing w:before="12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2.707.727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57" w:rsidRDefault="00702C96" w:rsidP="002F7E51">
            <w:pPr>
              <w:spacing w:before="12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2.706.924</w:t>
            </w:r>
          </w:p>
        </w:tc>
      </w:tr>
    </w:tbl>
    <w:p w:rsidR="007F2137" w:rsidRPr="004D1CAF" w:rsidRDefault="00E4659B" w:rsidP="00A04C2C">
      <w:pPr>
        <w:spacing w:before="120" w:after="0"/>
        <w:ind w:left="709"/>
        <w:jc w:val="both"/>
      </w:pPr>
      <w:r w:rsidRPr="00E4659B">
        <w:rPr>
          <w:b/>
          <w:u w:val="single"/>
        </w:rPr>
        <w:t>Πίνακας 1:</w:t>
      </w:r>
      <w:r w:rsidRPr="00E4659B">
        <w:t xml:space="preserve"> </w:t>
      </w:r>
      <w:r>
        <w:t>Πλήθος Συνταξιούχων ανά κατηγορία</w:t>
      </w:r>
    </w:p>
    <w:tbl>
      <w:tblPr>
        <w:tblpPr w:leftFromText="180" w:rightFromText="180" w:vertAnchor="text" w:horzAnchor="margin" w:tblpXSpec="center" w:tblpY="344"/>
        <w:tblW w:w="9781" w:type="dxa"/>
        <w:tblLayout w:type="fixed"/>
        <w:tblLook w:val="04A0"/>
      </w:tblPr>
      <w:tblGrid>
        <w:gridCol w:w="1560"/>
        <w:gridCol w:w="1417"/>
        <w:gridCol w:w="1418"/>
        <w:gridCol w:w="1701"/>
        <w:gridCol w:w="992"/>
        <w:gridCol w:w="1276"/>
        <w:gridCol w:w="1417"/>
      </w:tblGrid>
      <w:tr w:rsidR="009753D2" w:rsidRPr="00B164BD" w:rsidTr="009F2DD4">
        <w:trPr>
          <w:trHeight w:val="5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9753D2" w:rsidRPr="00B164BD" w:rsidRDefault="009753D2" w:rsidP="0097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 w:rsidRPr="00B164BD">
              <w:rPr>
                <w:rFonts w:eastAsia="Times New Roman"/>
                <w:b/>
                <w:bCs/>
                <w:color w:val="FFFFFF"/>
                <w:lang w:eastAsia="el-GR"/>
              </w:rPr>
              <w:t>Κατηγορία Συνταξιούχων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9753D2" w:rsidRDefault="009753D2" w:rsidP="0097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Μηνιαίο Ποσό (</w:t>
            </w:r>
            <w:r w:rsidRPr="000B4498">
              <w:rPr>
                <w:rFonts w:eastAsia="Times New Roman"/>
                <w:b/>
                <w:bCs/>
                <w:color w:val="FFFFFF"/>
              </w:rPr>
              <w:t>€</w:t>
            </w:r>
            <w:r>
              <w:rPr>
                <w:rFonts w:eastAsia="Times New Roman"/>
                <w:b/>
                <w:bCs/>
                <w:color w:val="FFFFFF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9753D2" w:rsidRDefault="009753D2" w:rsidP="009753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Μέσο Μηνιαίο Εισόδημα από συντάξεις (</w:t>
            </w:r>
            <w:r w:rsidRPr="000B4498">
              <w:rPr>
                <w:rFonts w:eastAsia="Times New Roman"/>
                <w:b/>
                <w:bCs/>
                <w:color w:val="FFFFFF"/>
              </w:rPr>
              <w:t>€</w:t>
            </w:r>
            <w:r>
              <w:rPr>
                <w:rFonts w:eastAsia="Times New Roman"/>
                <w:b/>
                <w:bCs/>
                <w:color w:val="FFFFFF"/>
                <w:lang w:eastAsia="el-GR"/>
              </w:rPr>
              <w:t>)</w:t>
            </w:r>
          </w:p>
        </w:tc>
      </w:tr>
      <w:tr w:rsidR="00702C96" w:rsidRPr="00B164BD" w:rsidTr="00CC6C1A">
        <w:trPr>
          <w:trHeight w:val="32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:rsidR="00702C96" w:rsidRPr="00B164BD" w:rsidRDefault="00702C96" w:rsidP="00702C9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center"/>
            <w:hideMark/>
          </w:tcPr>
          <w:p w:rsidR="00702C96" w:rsidRPr="00B164BD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Ιούλιος               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702C96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Αύγουστος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702C96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Σεπτέμβριος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702C96" w:rsidRPr="00B164BD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Ιούλιος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702C96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Αύγουστος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702C96" w:rsidRDefault="00702C96" w:rsidP="00702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l-GR"/>
              </w:rPr>
            </w:pPr>
            <w:r>
              <w:rPr>
                <w:rFonts w:eastAsia="Times New Roman"/>
                <w:b/>
                <w:bCs/>
                <w:color w:val="FFFFFF"/>
                <w:lang w:eastAsia="el-GR"/>
              </w:rPr>
              <w:t>Σεπτέμβριος  2013</w:t>
            </w:r>
          </w:p>
        </w:tc>
      </w:tr>
      <w:tr w:rsidR="00702C96" w:rsidRPr="00811C57" w:rsidTr="00CC6C1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EE4687" w:rsidRDefault="00702C96" w:rsidP="00702C96">
            <w:pPr>
              <w:spacing w:before="120" w:after="0"/>
              <w:ind w:right="-107"/>
              <w:rPr>
                <w:rFonts w:eastAsia="Times New Roman"/>
                <w:color w:val="000000"/>
                <w:lang w:eastAsia="el-GR"/>
              </w:rPr>
            </w:pPr>
            <w:r w:rsidRPr="00EE4687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702C96" w:rsidP="001556A6">
            <w:pPr>
              <w:spacing w:before="120" w:after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1.873.986.246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1556A6">
            <w:pPr>
              <w:spacing w:before="120"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1.873.562.732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96" w:rsidRDefault="001556A6" w:rsidP="001556A6">
            <w:pPr>
              <w:spacing w:before="120" w:after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1.875.066.055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C96" w:rsidRDefault="001556A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921,15</w:t>
            </w:r>
          </w:p>
        </w:tc>
      </w:tr>
      <w:tr w:rsidR="00702C96" w:rsidRPr="00811C57" w:rsidTr="00CC6C1A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EE4687" w:rsidRDefault="00702C96" w:rsidP="00702C96">
            <w:pPr>
              <w:spacing w:before="120" w:after="0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Θανάτου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AF0F44" w:rsidP="001556A6">
            <w:pPr>
              <w:spacing w:before="120" w:after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02C96">
              <w:rPr>
                <w:color w:val="000000"/>
              </w:rPr>
              <w:t>256.613.83</w:t>
            </w:r>
            <w:r w:rsidR="00702C96">
              <w:rPr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255.633.68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1556A6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253.386.501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1556A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678,81</w:t>
            </w:r>
          </w:p>
        </w:tc>
      </w:tr>
      <w:tr w:rsidR="00702C96" w:rsidRPr="00811C57" w:rsidTr="00CC6C1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EE4687" w:rsidRDefault="00702C96" w:rsidP="00702C96">
            <w:pPr>
              <w:spacing w:before="120" w:after="0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Αναπηρίας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AF0F44" w:rsidP="001556A6">
            <w:pPr>
              <w:spacing w:before="120" w:after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02C96">
              <w:rPr>
                <w:color w:val="000000"/>
              </w:rPr>
              <w:t>140.988.855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142.311.58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1556A6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143.365.958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556861" w:rsidP="00556861">
            <w:pPr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02C96">
              <w:rPr>
                <w:color w:val="000000"/>
              </w:rPr>
              <w:t>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1556A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611,13</w:t>
            </w:r>
          </w:p>
        </w:tc>
      </w:tr>
      <w:tr w:rsidR="00702C96" w:rsidRPr="00811C57" w:rsidTr="00CC6C1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EE4687" w:rsidRDefault="00702C96" w:rsidP="00702C96">
            <w:pPr>
              <w:spacing w:before="120" w:after="0"/>
              <w:ind w:right="-107"/>
              <w:rPr>
                <w:rFonts w:eastAsia="Times New Roman"/>
                <w:color w:val="000000"/>
                <w:lang w:eastAsia="el-GR"/>
              </w:rPr>
            </w:pPr>
            <w:r w:rsidRPr="00EE4687">
              <w:rPr>
                <w:rFonts w:eastAsia="Times New Roman"/>
                <w:color w:val="000000"/>
                <w:lang w:eastAsia="el-GR"/>
              </w:rPr>
              <w:t>Ανασφάλιστων  Υπερηλίκων ΟΓΑ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96" w:rsidRDefault="00AF0F44" w:rsidP="001556A6">
            <w:pPr>
              <w:spacing w:before="120" w:after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702C96">
              <w:rPr>
                <w:color w:val="000000"/>
              </w:rPr>
              <w:t>14.589.14</w:t>
            </w:r>
            <w:r w:rsidR="00702C96">
              <w:rPr>
                <w:color w:val="00000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AF0F44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02C96">
              <w:rPr>
                <w:color w:val="000000"/>
              </w:rPr>
              <w:t>14.536.710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AF0F44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556A6">
              <w:rPr>
                <w:color w:val="000000"/>
              </w:rPr>
              <w:t>14.204.305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1556A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361,90</w:t>
            </w:r>
          </w:p>
        </w:tc>
      </w:tr>
      <w:tr w:rsidR="00702C96" w:rsidRPr="00811C57" w:rsidTr="00CC6C1A">
        <w:trPr>
          <w:trHeight w:val="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EE4687" w:rsidRDefault="00702C96" w:rsidP="00702C96">
            <w:pPr>
              <w:spacing w:before="120" w:after="0"/>
              <w:rPr>
                <w:rFonts w:eastAsia="Times New Roman"/>
                <w:bCs/>
                <w:color w:val="000000"/>
                <w:lang w:eastAsia="el-GR"/>
              </w:rPr>
            </w:pPr>
            <w:r w:rsidRPr="00EE4687">
              <w:rPr>
                <w:rFonts w:eastAsia="Times New Roman"/>
                <w:bCs/>
                <w:color w:val="000000"/>
                <w:lang w:eastAsia="el-GR"/>
              </w:rPr>
              <w:t>Χωρίς  Ένδειξη Κατηγορίας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96" w:rsidRDefault="00AF0F44" w:rsidP="001556A6">
            <w:pPr>
              <w:spacing w:before="120" w:after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702C96">
              <w:rPr>
                <w:color w:val="000000"/>
              </w:rPr>
              <w:t>17.552.65</w:t>
            </w:r>
            <w:r w:rsidR="00702C96">
              <w:rPr>
                <w:color w:val="00000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AF0F44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702C96">
              <w:rPr>
                <w:color w:val="000000"/>
              </w:rPr>
              <w:t>17.421.588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AF0F44" w:rsidP="001556A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556A6">
              <w:rPr>
                <w:color w:val="000000"/>
              </w:rPr>
              <w:t>17.410.135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96" w:rsidRDefault="001556A6" w:rsidP="00702C96">
            <w:pPr>
              <w:spacing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718,24</w:t>
            </w:r>
          </w:p>
        </w:tc>
      </w:tr>
      <w:tr w:rsidR="00702C96" w:rsidRPr="00811C57" w:rsidTr="00CC6C1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811C57" w:rsidRDefault="00702C96" w:rsidP="00702C96">
            <w:pPr>
              <w:spacing w:before="120" w:after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811C57"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Pr="000B29B1" w:rsidRDefault="00702C96" w:rsidP="001556A6">
            <w:pPr>
              <w:spacing w:before="120" w:after="0"/>
              <w:ind w:left="-108"/>
              <w:jc w:val="center"/>
              <w:rPr>
                <w:b/>
                <w:color w:val="000000"/>
              </w:rPr>
            </w:pPr>
            <w:r w:rsidRPr="000B29B1">
              <w:rPr>
                <w:b/>
                <w:color w:val="000000"/>
              </w:rPr>
              <w:t>2.303.730.739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Pr="00A94BFF" w:rsidRDefault="00702C96" w:rsidP="001556A6">
            <w:pPr>
              <w:spacing w:before="120" w:after="0"/>
              <w:ind w:left="-108"/>
              <w:jc w:val="center"/>
              <w:rPr>
                <w:b/>
                <w:color w:val="000000"/>
              </w:rPr>
            </w:pPr>
            <w:r w:rsidRPr="00A94BFF">
              <w:rPr>
                <w:b/>
                <w:color w:val="000000"/>
              </w:rPr>
              <w:t>2.303.466</w:t>
            </w:r>
            <w:r w:rsidRPr="00A94BFF">
              <w:rPr>
                <w:b/>
                <w:color w:val="000000"/>
                <w:lang w:val="en-US"/>
              </w:rPr>
              <w:t>.</w:t>
            </w:r>
            <w:r w:rsidRPr="00A94BFF">
              <w:rPr>
                <w:b/>
                <w:color w:val="000000"/>
              </w:rPr>
              <w:t>29</w:t>
            </w:r>
            <w:r w:rsidRPr="00A94BFF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Pr="00A94BFF" w:rsidRDefault="001556A6" w:rsidP="001556A6">
            <w:pPr>
              <w:spacing w:before="120" w:after="0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2.303.432.954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96" w:rsidRDefault="00702C96" w:rsidP="00702C96">
            <w:pPr>
              <w:spacing w:before="120" w:after="0"/>
              <w:jc w:val="center"/>
              <w:rPr>
                <w:color w:val="000000"/>
              </w:rPr>
            </w:pPr>
          </w:p>
        </w:tc>
      </w:tr>
    </w:tbl>
    <w:p w:rsidR="007F2137" w:rsidRPr="00E4659B" w:rsidRDefault="00E4659B" w:rsidP="00A04C2C">
      <w:pPr>
        <w:spacing w:before="120"/>
        <w:jc w:val="both"/>
      </w:pPr>
      <w:r w:rsidRPr="00E4659B">
        <w:rPr>
          <w:b/>
          <w:u w:val="single"/>
        </w:rPr>
        <w:t>Πίνακας 2:</w:t>
      </w:r>
      <w:r w:rsidRPr="00E4659B">
        <w:t xml:space="preserve"> </w:t>
      </w:r>
      <w:r w:rsidRPr="00CD7D14">
        <w:rPr>
          <w:rFonts w:eastAsia="Times New Roman"/>
          <w:color w:val="000000"/>
          <w:lang w:eastAsia="el-GR"/>
        </w:rPr>
        <w:t>Μέσο Μηνιαίο Εισόδημα από Συντάξεις προ Φόρων και Κρατήσεων Περίθαλψης</w:t>
      </w:r>
    </w:p>
    <w:p w:rsidR="00284ADD" w:rsidRDefault="00284ADD" w:rsidP="00FD7601">
      <w:pPr>
        <w:jc w:val="both"/>
      </w:pPr>
    </w:p>
    <w:p w:rsidR="003F518A" w:rsidRDefault="003F518A" w:rsidP="00FD7601">
      <w:pPr>
        <w:jc w:val="both"/>
      </w:pPr>
      <w:r>
        <w:lastRenderedPageBreak/>
        <w:t>Για τον υπολογισμό του μέσου μηνιαίου εισοδήματος αθροίζονται στην κατηγορί</w:t>
      </w:r>
      <w:r w:rsidR="00582BC8">
        <w:t xml:space="preserve">α της σύνταξης γήρατος και όλες </w:t>
      </w:r>
      <w:r>
        <w:t xml:space="preserve">οι συντάξεις άλλων κατηγοριών </w:t>
      </w:r>
      <w:r w:rsidR="004B38B5">
        <w:t xml:space="preserve">(θανάτου, αναπηρίας) </w:t>
      </w:r>
      <w:r>
        <w:t>που ενδεχομένως λαμβάνει ένας συνταξιούχος</w:t>
      </w:r>
      <w:r w:rsidR="004B38B5">
        <w:t>.</w:t>
      </w:r>
      <w:r w:rsidR="00566B79">
        <w:t xml:space="preserve"> </w:t>
      </w:r>
    </w:p>
    <w:p w:rsidR="002F117F" w:rsidRDefault="00747DE6" w:rsidP="002F117F">
      <w:pPr>
        <w:jc w:val="both"/>
        <w:rPr>
          <w:noProof/>
          <w:lang w:eastAsia="el-GR"/>
        </w:rPr>
      </w:pPr>
      <w:r>
        <w:t>Με τα δε</w:t>
      </w:r>
      <w:r w:rsidR="001202D6">
        <w:t>δομένα των συντάξεων του</w:t>
      </w:r>
      <w:r w:rsidR="001202D6" w:rsidRPr="004D1CAF">
        <w:rPr>
          <w:b/>
        </w:rPr>
        <w:t xml:space="preserve"> </w:t>
      </w:r>
      <w:r w:rsidR="007B0EA3">
        <w:rPr>
          <w:b/>
        </w:rPr>
        <w:t xml:space="preserve">Σεπτεμβρίου </w:t>
      </w:r>
      <w:r>
        <w:t>προκύπτει το μείγμα των συνταξιούχων</w:t>
      </w:r>
      <w:r w:rsidR="005A596F">
        <w:t xml:space="preserve"> </w:t>
      </w:r>
      <w:r w:rsidR="007C5F2F">
        <w:t>και το μέσο</w:t>
      </w:r>
      <w:r w:rsidR="009274F2">
        <w:t xml:space="preserve"> μηνιαίο εισόδημα από συντάξεις </w:t>
      </w:r>
      <w:r>
        <w:t>π</w:t>
      </w:r>
      <w:r w:rsidR="00425D51">
        <w:t>ου</w:t>
      </w:r>
      <w:r w:rsidR="00C463DD">
        <w:t xml:space="preserve"> αποτυπώνεται στο διάγραμμα </w:t>
      </w:r>
      <w:r w:rsidR="0006125B" w:rsidRPr="0006125B">
        <w:t>1</w:t>
      </w:r>
      <w:r w:rsidR="00425D51">
        <w:t xml:space="preserve"> </w:t>
      </w:r>
      <w:r w:rsidR="002306F0">
        <w:t>που ακολουθεί.</w:t>
      </w:r>
      <w:r w:rsidR="00D771A6" w:rsidRPr="00D771A6">
        <w:rPr>
          <w:noProof/>
          <w:lang w:eastAsia="el-GR"/>
        </w:rPr>
        <w:t xml:space="preserve"> </w:t>
      </w:r>
    </w:p>
    <w:p w:rsidR="000D66E4" w:rsidRDefault="000D66E4" w:rsidP="002F117F">
      <w:pPr>
        <w:jc w:val="center"/>
        <w:rPr>
          <w:noProof/>
          <w:lang w:eastAsia="el-GR"/>
        </w:rPr>
      </w:pPr>
      <w:r w:rsidRPr="007B0EA3">
        <w:rPr>
          <w:noProof/>
          <w:lang w:eastAsia="el-GR"/>
        </w:rPr>
        <w:drawing>
          <wp:inline distT="0" distB="0" distL="0" distR="0">
            <wp:extent cx="4419600" cy="2381250"/>
            <wp:effectExtent l="19050" t="0" r="19050" b="0"/>
            <wp:docPr id="10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DE6" w:rsidRDefault="00673394" w:rsidP="00747DE6">
      <w:r w:rsidRPr="00673394">
        <w:rPr>
          <w:b/>
        </w:rPr>
        <w:t xml:space="preserve">       </w:t>
      </w:r>
      <w:r w:rsidR="0006125B">
        <w:rPr>
          <w:b/>
          <w:u w:val="single"/>
        </w:rPr>
        <w:t xml:space="preserve">Διάγραμμα </w:t>
      </w:r>
      <w:r w:rsidR="0006125B" w:rsidRPr="0078524E">
        <w:rPr>
          <w:b/>
          <w:u w:val="single"/>
        </w:rPr>
        <w:t>1</w:t>
      </w:r>
      <w:r w:rsidR="00747DE6" w:rsidRPr="00A8573E">
        <w:rPr>
          <w:b/>
          <w:u w:val="single"/>
        </w:rPr>
        <w:t>:</w:t>
      </w:r>
      <w:r w:rsidR="00747DE6">
        <w:t xml:space="preserve"> Ποσοστιαία κατανομή συνταξιούχων  </w:t>
      </w:r>
      <w:r w:rsidR="00F822AF">
        <w:t>&amp; μέσο μηνιαίο εισόδημα</w:t>
      </w:r>
    </w:p>
    <w:p w:rsidR="00F54784" w:rsidRDefault="004D1CAF" w:rsidP="004D1CAF">
      <w:pPr>
        <w:jc w:val="both"/>
      </w:pPr>
      <w:r w:rsidRPr="00C90303">
        <w:t>Στον Πίνακα 3</w:t>
      </w:r>
      <w:r w:rsidR="00F65601" w:rsidRPr="00C90303">
        <w:t xml:space="preserve"> παρουσιάζονται αναλυτικά στοιχεία του αριθμού των συνταξιούχων </w:t>
      </w:r>
      <w:r w:rsidR="008C58F6" w:rsidRPr="00C90303">
        <w:t xml:space="preserve"> </w:t>
      </w:r>
      <w:r w:rsidR="009038E2" w:rsidRPr="00C90303">
        <w:t xml:space="preserve">και του </w:t>
      </w:r>
      <w:r w:rsidR="005C70BA">
        <w:t xml:space="preserve">μέσου </w:t>
      </w:r>
      <w:r w:rsidR="009038E2" w:rsidRPr="00C90303">
        <w:t xml:space="preserve">μηνιαίου εισοδήματος τους </w:t>
      </w:r>
      <w:r w:rsidR="00933937" w:rsidRPr="00C90303">
        <w:t>ανά</w:t>
      </w:r>
      <w:r w:rsidR="008C58F6" w:rsidRPr="00C90303">
        <w:t xml:space="preserve"> φύλο</w:t>
      </w:r>
      <w:r w:rsidR="00F65601" w:rsidRPr="00C90303">
        <w:t>. Παρατηρείται ότι οι γυναίκες συνταξιούχο</w:t>
      </w:r>
      <w:r w:rsidR="008C58F6" w:rsidRPr="00C90303">
        <w:t>ι</w:t>
      </w:r>
      <w:r w:rsidR="00F65601" w:rsidRPr="00C90303">
        <w:t xml:space="preserve"> είναι</w:t>
      </w:r>
      <w:r w:rsidR="00F65601">
        <w:t xml:space="preserve"> </w:t>
      </w:r>
      <w:r w:rsidR="00C90303">
        <w:t>1.416.063</w:t>
      </w:r>
      <w:r w:rsidR="00F65601">
        <w:t xml:space="preserve"> ενώ οι άνδρες </w:t>
      </w:r>
      <w:r w:rsidR="00C90303">
        <w:t>1.280.282</w:t>
      </w:r>
      <w:r w:rsidR="00D77AD5">
        <w:t xml:space="preserve"> (</w:t>
      </w:r>
      <w:r w:rsidR="00C90303">
        <w:t>10.579</w:t>
      </w:r>
      <w:r w:rsidR="009E6EE5">
        <w:t xml:space="preserve"> συνταξιούχοι δεν είχαν ένδειξη φύλου). </w:t>
      </w:r>
      <w:r w:rsidR="00F65601">
        <w:t xml:space="preserve"> </w:t>
      </w:r>
    </w:p>
    <w:tbl>
      <w:tblPr>
        <w:tblW w:w="7515" w:type="dxa"/>
        <w:jc w:val="center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7"/>
        <w:gridCol w:w="1302"/>
        <w:gridCol w:w="1302"/>
        <w:gridCol w:w="1208"/>
        <w:gridCol w:w="1436"/>
      </w:tblGrid>
      <w:tr w:rsidR="00C90303" w:rsidRPr="00C90303" w:rsidTr="00284ADD">
        <w:trPr>
          <w:trHeight w:val="273"/>
          <w:jc w:val="center"/>
        </w:trPr>
        <w:tc>
          <w:tcPr>
            <w:tcW w:w="2267" w:type="dxa"/>
            <w:vMerge w:val="restart"/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Κατηγορία Συνταξιούχων</w:t>
            </w:r>
          </w:p>
        </w:tc>
        <w:tc>
          <w:tcPr>
            <w:tcW w:w="2604" w:type="dxa"/>
            <w:gridSpan w:val="2"/>
            <w:shd w:val="clear" w:color="auto" w:fill="1F497D" w:themeFill="text2"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2644" w:type="dxa"/>
            <w:gridSpan w:val="2"/>
            <w:shd w:val="clear" w:color="auto" w:fill="1F497D" w:themeFill="text2"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 xml:space="preserve">Μέσο Μηνιαίο Εισόδημα από συντάξεις </w:t>
            </w: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€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vMerge/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</w:p>
        </w:tc>
        <w:tc>
          <w:tcPr>
            <w:tcW w:w="1302" w:type="dxa"/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Γυναίκες</w:t>
            </w:r>
          </w:p>
        </w:tc>
        <w:tc>
          <w:tcPr>
            <w:tcW w:w="1302" w:type="dxa"/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Άνδρες</w:t>
            </w:r>
          </w:p>
        </w:tc>
        <w:tc>
          <w:tcPr>
            <w:tcW w:w="1208" w:type="dxa"/>
            <w:tcBorders>
              <w:bottom w:val="single" w:sz="2" w:space="0" w:color="auto"/>
            </w:tcBorders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Γυναίκες</w:t>
            </w:r>
          </w:p>
        </w:tc>
        <w:tc>
          <w:tcPr>
            <w:tcW w:w="1436" w:type="dxa"/>
            <w:tcBorders>
              <w:bottom w:val="single" w:sz="2" w:space="0" w:color="auto"/>
            </w:tcBorders>
            <w:shd w:val="clear" w:color="auto" w:fill="1F497D" w:themeFill="text2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90303">
              <w:rPr>
                <w:rFonts w:eastAsia="Times New Roman"/>
                <w:b/>
                <w:color w:val="FFFFFF" w:themeColor="background1"/>
                <w:lang w:eastAsia="el-GR"/>
              </w:rPr>
              <w:t>Άνδρες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940.278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1.089.006</w:t>
            </w:r>
          </w:p>
        </w:tc>
        <w:tc>
          <w:tcPr>
            <w:tcW w:w="1208" w:type="dxa"/>
            <w:shd w:val="clear" w:color="auto" w:fill="FFFF00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766,06 €</w:t>
            </w:r>
          </w:p>
        </w:tc>
        <w:tc>
          <w:tcPr>
            <w:tcW w:w="1436" w:type="dxa"/>
            <w:shd w:val="clear" w:color="auto" w:fill="FFFF00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1.058,80 €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Θανάτου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346.138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23.067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693,07 €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485,45 €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Αναπηρίας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88.734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145.735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507,97 €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673,83 €</w:t>
            </w:r>
          </w:p>
        </w:tc>
      </w:tr>
      <w:tr w:rsidR="00C90303" w:rsidRPr="00C90303" w:rsidTr="00284ADD">
        <w:trPr>
          <w:trHeight w:val="561"/>
          <w:jc w:val="center"/>
        </w:trPr>
        <w:tc>
          <w:tcPr>
            <w:tcW w:w="2267" w:type="dxa"/>
            <w:shd w:val="clear" w:color="auto" w:fill="auto"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Ανασφάλιστων Υπερηλίκων ΟΓΑ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26.373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12.876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361,99 €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361,72 €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Χωρίς Ένδειξη Κατηγορίας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14.540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9.598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654,10 €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C90303">
              <w:rPr>
                <w:rFonts w:eastAsia="Times New Roman"/>
                <w:color w:val="000000"/>
                <w:lang w:eastAsia="el-GR"/>
              </w:rPr>
              <w:t>820,45 €</w:t>
            </w:r>
          </w:p>
        </w:tc>
      </w:tr>
      <w:tr w:rsidR="00C90303" w:rsidRPr="00C90303" w:rsidTr="00284ADD">
        <w:trPr>
          <w:trHeight w:val="273"/>
          <w:jc w:val="center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rPr>
                <w:rFonts w:eastAsia="Times New Roman"/>
                <w:b/>
                <w:color w:val="000000"/>
                <w:lang w:eastAsia="el-GR"/>
              </w:rPr>
            </w:pPr>
            <w:r w:rsidRPr="00C90303">
              <w:rPr>
                <w:rFonts w:eastAsia="Times New Roman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  <w:r w:rsidRPr="00C90303">
              <w:rPr>
                <w:rFonts w:eastAsia="Times New Roman"/>
                <w:b/>
                <w:color w:val="000000"/>
                <w:lang w:eastAsia="el-GR"/>
              </w:rPr>
              <w:t>1.416.063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  <w:r w:rsidRPr="00C90303">
              <w:rPr>
                <w:rFonts w:eastAsia="Times New Roman"/>
                <w:b/>
                <w:color w:val="000000"/>
                <w:lang w:eastAsia="el-GR"/>
              </w:rPr>
              <w:t>1.280.282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C90303" w:rsidRPr="00C90303" w:rsidRDefault="00C90303" w:rsidP="00C90303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</w:p>
        </w:tc>
      </w:tr>
    </w:tbl>
    <w:p w:rsidR="006A268F" w:rsidRPr="00D410CF" w:rsidRDefault="006A268F" w:rsidP="0086612C">
      <w:pPr>
        <w:keepNext/>
        <w:spacing w:before="120" w:after="0" w:line="240" w:lineRule="auto"/>
        <w:rPr>
          <w:rFonts w:eastAsia="Times New Roman"/>
          <w:color w:val="000000"/>
          <w:lang w:eastAsia="el-GR"/>
        </w:rPr>
      </w:pPr>
      <w:r>
        <w:rPr>
          <w:rFonts w:eastAsia="Times New Roman"/>
          <w:b/>
          <w:color w:val="000000"/>
          <w:u w:val="single"/>
          <w:lang w:eastAsia="el-GR"/>
        </w:rPr>
        <w:t>Πίνακας</w:t>
      </w:r>
      <w:r w:rsidRPr="0006125B">
        <w:rPr>
          <w:rFonts w:eastAsia="Times New Roman"/>
          <w:b/>
          <w:color w:val="000000"/>
          <w:u w:val="single"/>
          <w:lang w:eastAsia="el-GR"/>
        </w:rPr>
        <w:t xml:space="preserve"> </w:t>
      </w:r>
      <w:r w:rsidR="004D1CAF">
        <w:rPr>
          <w:rFonts w:eastAsia="Times New Roman"/>
          <w:b/>
          <w:color w:val="000000"/>
          <w:u w:val="single"/>
          <w:lang w:eastAsia="el-GR"/>
        </w:rPr>
        <w:t>3</w:t>
      </w:r>
      <w:r w:rsidRPr="00CA3AAC">
        <w:rPr>
          <w:rFonts w:eastAsia="Times New Roman"/>
          <w:b/>
          <w:color w:val="000000"/>
          <w:lang w:eastAsia="el-GR"/>
        </w:rPr>
        <w:t xml:space="preserve"> :</w:t>
      </w:r>
      <w:r w:rsidRPr="00CD7D14">
        <w:rPr>
          <w:rFonts w:eastAsia="Times New Roman"/>
          <w:color w:val="000000"/>
          <w:lang w:eastAsia="el-GR"/>
        </w:rPr>
        <w:t xml:space="preserve">Μέσο Μηνιαίο Εισόδημα από Συντάξεις προ Φόρων και Κρατήσεων Περίθαλψης </w:t>
      </w:r>
      <w:r>
        <w:rPr>
          <w:rFonts w:eastAsia="Times New Roman"/>
          <w:color w:val="000000"/>
          <w:lang w:eastAsia="el-GR"/>
        </w:rPr>
        <w:t xml:space="preserve"> ανά φύλο</w:t>
      </w:r>
      <w:r w:rsidR="004B3F44">
        <w:rPr>
          <w:rFonts w:eastAsia="Times New Roman"/>
          <w:color w:val="000000"/>
          <w:lang w:eastAsia="el-GR"/>
        </w:rPr>
        <w:t>.</w:t>
      </w:r>
    </w:p>
    <w:p w:rsidR="00244530" w:rsidRPr="00D410CF" w:rsidRDefault="00244530" w:rsidP="0086612C">
      <w:pPr>
        <w:keepNext/>
        <w:spacing w:before="120" w:after="0" w:line="240" w:lineRule="auto"/>
        <w:rPr>
          <w:rFonts w:eastAsia="Times New Roman"/>
          <w:color w:val="000000"/>
          <w:lang w:eastAsia="el-GR"/>
        </w:rPr>
      </w:pPr>
    </w:p>
    <w:p w:rsidR="00D410CF" w:rsidRDefault="00D410CF" w:rsidP="00D410CF">
      <w:pPr>
        <w:spacing w:after="120"/>
        <w:jc w:val="both"/>
      </w:pPr>
    </w:p>
    <w:p w:rsidR="004968B4" w:rsidRDefault="004968B4" w:rsidP="00D410CF">
      <w:pPr>
        <w:spacing w:after="120"/>
        <w:jc w:val="both"/>
      </w:pPr>
    </w:p>
    <w:p w:rsidR="00390536" w:rsidRDefault="00D410CF" w:rsidP="007A4E92">
      <w:pPr>
        <w:spacing w:after="120"/>
        <w:jc w:val="both"/>
      </w:pPr>
      <w:r>
        <w:lastRenderedPageBreak/>
        <w:t>Αναλύοντας τα δεδομένα του εισοδήματος  των συνταξιούχων σε κλίμακες, προκύπτει ότι ένας μεγάλος αριθμός συνταξιούχων γήρατος λαμβάνουν εισόδημα που κυμαίνεται στο εύρος 500-1000</w:t>
      </w:r>
      <w:r w:rsidRPr="00FC2CA5">
        <w:t>€</w:t>
      </w:r>
      <w:r>
        <w:t>. Ο ίδιος περίπου αριθμός βρίσκεται στο εύρ</w:t>
      </w:r>
      <w:r w:rsidR="00FC0A04">
        <w:t xml:space="preserve">ος 1.000-2.000 €. Στον πίνακα 4 </w:t>
      </w:r>
      <w:r>
        <w:t>που ακολουθεί κατανέμεται το εισόδημα από συντάξεις ανά κατηγορία (γήρατος, θανάτου κτλ) και εύρος ποσού</w:t>
      </w:r>
      <w:r w:rsidRPr="00FD66ED">
        <w:t xml:space="preserve"> </w:t>
      </w:r>
      <w:r>
        <w:t xml:space="preserve">με βήμα 500 ευρώ. Επισημαίνεται ότι τα ποσά είναι προ κρατήσεων φόρου και υγειονομικής περίθαλψης. </w:t>
      </w:r>
    </w:p>
    <w:tbl>
      <w:tblPr>
        <w:tblpPr w:leftFromText="180" w:rightFromText="180" w:vertAnchor="text" w:horzAnchor="page" w:tblpX="1123" w:tblpY="338"/>
        <w:tblW w:w="10020" w:type="dxa"/>
        <w:tblLook w:val="04A0"/>
      </w:tblPr>
      <w:tblGrid>
        <w:gridCol w:w="1668"/>
        <w:gridCol w:w="1115"/>
        <w:gridCol w:w="996"/>
        <w:gridCol w:w="1119"/>
        <w:gridCol w:w="996"/>
        <w:gridCol w:w="1119"/>
        <w:gridCol w:w="996"/>
        <w:gridCol w:w="1015"/>
        <w:gridCol w:w="996"/>
      </w:tblGrid>
      <w:tr w:rsidR="002F7E51" w:rsidRPr="00CD0CAE" w:rsidTr="00D410CF">
        <w:trPr>
          <w:trHeight w:val="2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Εύρος Ποσού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Γήρατος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Θανάτου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Αναπηρικές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Λοιπές</w:t>
            </w:r>
          </w:p>
        </w:tc>
      </w:tr>
      <w:tr w:rsidR="002F7E51" w:rsidRPr="00CD0CAE" w:rsidTr="00D410CF">
        <w:trPr>
          <w:trHeight w:val="2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2F7E51" w:rsidRPr="00CD0CAE" w:rsidRDefault="002F7E51" w:rsidP="002F7E51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2F7E51" w:rsidRPr="00CD0CAE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Μ.Ο.</w:t>
            </w:r>
          </w:p>
        </w:tc>
      </w:tr>
      <w:tr w:rsidR="002F7E51" w:rsidRPr="002F7E51" w:rsidTr="00D410CF">
        <w:trPr>
          <w:trHeight w:val="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0-500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518.418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362,11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91.021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303,65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101.558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383,10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8.226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218,81</w:t>
            </w:r>
          </w:p>
        </w:tc>
      </w:tr>
      <w:tr w:rsidR="002F7E51" w:rsidRPr="002F7E51" w:rsidTr="00D410CF">
        <w:trPr>
          <w:trHeight w:val="2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500-1000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766.936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707,72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231.600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699,95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111.625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682,53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5.058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761,72</w:t>
            </w:r>
          </w:p>
        </w:tc>
      </w:tr>
      <w:tr w:rsidR="002F7E51" w:rsidRPr="002F7E51" w:rsidTr="00D410CF">
        <w:trPr>
          <w:trHeight w:val="2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1000-1500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465.783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258,55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44.115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186,46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17.223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202,92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10.914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070,94</w:t>
            </w:r>
          </w:p>
        </w:tc>
      </w:tr>
      <w:tr w:rsidR="002F7E51" w:rsidRPr="002F7E51" w:rsidTr="00D410CF">
        <w:trPr>
          <w:trHeight w:val="2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1500-2000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281.770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688,99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5.823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657,85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3.488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684,67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629,06</w:t>
            </w:r>
          </w:p>
        </w:tc>
      </w:tr>
      <w:tr w:rsidR="002F7E51" w:rsidRPr="002F7E51" w:rsidTr="00D410CF">
        <w:trPr>
          <w:trHeight w:val="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2000-2500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32.487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167,10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     </w:t>
            </w:r>
            <w:r w:rsidRPr="002F7E51">
              <w:rPr>
                <w:rFonts w:eastAsia="Times New Roman"/>
                <w:color w:val="000000"/>
                <w:lang w:eastAsia="el-GR"/>
              </w:rPr>
              <w:t>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183,56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485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182,78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406,71</w:t>
            </w:r>
          </w:p>
        </w:tc>
      </w:tr>
      <w:tr w:rsidR="002F7E51" w:rsidRPr="002F7E51" w:rsidTr="00D410CF">
        <w:trPr>
          <w:trHeight w:val="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Άνω των 2.500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9.419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786,80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</w:t>
            </w:r>
            <w:r w:rsidRPr="002F7E51">
              <w:rPr>
                <w:rFonts w:eastAsia="Times New Roman"/>
                <w:color w:val="000000"/>
                <w:lang w:eastAsia="el-GR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855,03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0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2</w:t>
            </w:r>
            <w:r w:rsidR="0086502E">
              <w:rPr>
                <w:rFonts w:eastAsia="Times New Roman"/>
                <w:color w:val="000000"/>
                <w:lang w:eastAsia="el-GR"/>
              </w:rPr>
              <w:t>.</w:t>
            </w:r>
            <w:r w:rsidRPr="002F7E51">
              <w:rPr>
                <w:rFonts w:eastAsia="Times New Roman"/>
                <w:color w:val="000000"/>
                <w:lang w:eastAsia="el-GR"/>
              </w:rPr>
              <w:t>906,48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2F7E51">
              <w:rPr>
                <w:rFonts w:eastAsia="Times New Roman"/>
                <w:color w:val="000000"/>
                <w:lang w:eastAsia="el-GR"/>
              </w:rPr>
              <w:t>0,00</w:t>
            </w:r>
          </w:p>
        </w:tc>
      </w:tr>
      <w:tr w:rsidR="002F7E51" w:rsidRPr="002F7E51" w:rsidTr="00D410CF">
        <w:trPr>
          <w:trHeight w:val="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CD0CAE" w:rsidP="00CD0C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F7E51">
              <w:rPr>
                <w:rFonts w:eastAsia="Times New Roman"/>
                <w:b/>
                <w:bCs/>
                <w:color w:val="000000"/>
                <w:lang w:eastAsia="el-GR"/>
              </w:rPr>
              <w:t>2.074.813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2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F7E51">
              <w:rPr>
                <w:rFonts w:eastAsia="Times New Roman"/>
                <w:b/>
                <w:bCs/>
                <w:color w:val="000000"/>
                <w:lang w:eastAsia="el-GR"/>
              </w:rPr>
              <w:t>373.279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2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F7E51">
              <w:rPr>
                <w:rFonts w:eastAsia="Times New Roman"/>
                <w:b/>
                <w:bCs/>
                <w:color w:val="000000"/>
                <w:lang w:eastAsia="el-GR"/>
              </w:rPr>
              <w:t>234.592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2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2F7E51">
              <w:rPr>
                <w:rFonts w:eastAsia="Times New Roman"/>
                <w:b/>
                <w:bCs/>
                <w:color w:val="000000"/>
                <w:lang w:eastAsia="el-GR"/>
              </w:rPr>
              <w:t>24.240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51" w:rsidRPr="002F7E51" w:rsidRDefault="002F7E51" w:rsidP="002F7E51">
            <w:pPr>
              <w:spacing w:after="0" w:line="240" w:lineRule="auto"/>
              <w:ind w:firstLineChars="200" w:firstLine="442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D410CF" w:rsidRPr="00FC2CA5" w:rsidRDefault="00D410CF" w:rsidP="00D410CF">
      <w:pPr>
        <w:keepNext/>
        <w:spacing w:before="120" w:after="0" w:line="240" w:lineRule="auto"/>
      </w:pPr>
      <w:r>
        <w:rPr>
          <w:b/>
          <w:u w:val="single"/>
        </w:rPr>
        <w:t>Πίνακας 4</w:t>
      </w:r>
      <w:r w:rsidRPr="00FC2CA5">
        <w:rPr>
          <w:b/>
          <w:u w:val="single"/>
        </w:rPr>
        <w:t>:</w:t>
      </w:r>
      <w:r w:rsidRPr="00FC2CA5">
        <w:t xml:space="preserve"> </w:t>
      </w:r>
      <w:r>
        <w:t>Κατανομή Εισοδήματος Συνταξιούχων ανά εύρος καταβαλλόμενου ποσού</w:t>
      </w:r>
    </w:p>
    <w:p w:rsidR="008D60F3" w:rsidRDefault="008D60F3" w:rsidP="00FD7601">
      <w:pPr>
        <w:jc w:val="both"/>
        <w:rPr>
          <w:lang w:val="en-US"/>
        </w:rPr>
      </w:pPr>
    </w:p>
    <w:p w:rsidR="00116F4B" w:rsidRDefault="00367042" w:rsidP="00FD7601">
      <w:pPr>
        <w:jc w:val="both"/>
      </w:pPr>
      <w:r>
        <w:t xml:space="preserve">Τέλος, από την κατανομή του πλήθους των συντάξεων ανά συνταξιούχο </w:t>
      </w:r>
      <w:r w:rsidR="00B472D9">
        <w:t xml:space="preserve">παρατηρείται πως </w:t>
      </w:r>
      <w:r w:rsidR="0022781B">
        <w:t>1.</w:t>
      </w:r>
      <w:r w:rsidR="003E23E5" w:rsidRPr="003E23E5">
        <w:t>408.318</w:t>
      </w:r>
      <w:r w:rsidR="00FD69B8">
        <w:t xml:space="preserve"> συνταξιούχοι λαμβάνουν </w:t>
      </w:r>
      <w:r w:rsidR="00B472D9">
        <w:t xml:space="preserve">1 μόνο σύνταξη, </w:t>
      </w:r>
      <w:r w:rsidR="003E23E5" w:rsidRPr="003E23E5">
        <w:t>929.888</w:t>
      </w:r>
      <w:r w:rsidR="00B472D9">
        <w:t xml:space="preserve"> λαμβάνουν 2 συντάξεις </w:t>
      </w:r>
      <w:r>
        <w:t xml:space="preserve">και </w:t>
      </w:r>
      <w:r w:rsidR="003E23E5" w:rsidRPr="003E23E5">
        <w:t>303.702</w:t>
      </w:r>
      <w:r>
        <w:t xml:space="preserve"> συντ</w:t>
      </w:r>
      <w:r w:rsidR="00951BAA">
        <w:t xml:space="preserve">αξιούχοι λαμβάνουν 3 </w:t>
      </w:r>
      <w:r w:rsidR="00FA1364">
        <w:t xml:space="preserve">συντάξεις. </w:t>
      </w:r>
      <w:r>
        <w:t>Πολύ περιορισμένος αριθμός λαμβάνει πάνω από 7 συντάξεις</w:t>
      </w:r>
      <w:r w:rsidR="0022781B">
        <w:t xml:space="preserve"> όπως φαίνεται και στον πίνακα 5</w:t>
      </w:r>
      <w:r>
        <w:t xml:space="preserve">. </w:t>
      </w:r>
    </w:p>
    <w:tbl>
      <w:tblPr>
        <w:tblW w:w="3838" w:type="dxa"/>
        <w:jc w:val="center"/>
        <w:tblInd w:w="2235" w:type="dxa"/>
        <w:tblLook w:val="04A0"/>
      </w:tblPr>
      <w:tblGrid>
        <w:gridCol w:w="1984"/>
        <w:gridCol w:w="1854"/>
      </w:tblGrid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116F4B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Αριθμός Καταβαλλόμενων Συντάξεων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116F4B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Συνταξιούχοι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22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230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2.066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11.641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51.051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303.702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929.888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16F4B">
              <w:rPr>
                <w:rFonts w:eastAsia="Times New Roman"/>
                <w:color w:val="000000"/>
                <w:lang w:eastAsia="el-GR"/>
              </w:rPr>
              <w:t>1.408.318</w:t>
            </w:r>
          </w:p>
        </w:tc>
      </w:tr>
      <w:tr w:rsidR="00116F4B" w:rsidRPr="00116F4B" w:rsidTr="00001159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16F4B"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4B" w:rsidRPr="00116F4B" w:rsidRDefault="00116F4B" w:rsidP="00116F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16F4B">
              <w:rPr>
                <w:rFonts w:eastAsia="Times New Roman"/>
                <w:b/>
                <w:bCs/>
                <w:color w:val="000000"/>
                <w:lang w:eastAsia="el-GR"/>
              </w:rPr>
              <w:t>2.706.924</w:t>
            </w:r>
          </w:p>
        </w:tc>
      </w:tr>
    </w:tbl>
    <w:p w:rsidR="00B472D9" w:rsidRPr="00FB26EA" w:rsidRDefault="00FB26EA" w:rsidP="00C352F2">
      <w:pPr>
        <w:spacing w:before="120"/>
        <w:ind w:left="1276"/>
        <w:rPr>
          <w:rFonts w:eastAsia="Times New Roman"/>
        </w:rPr>
      </w:pPr>
      <w:r w:rsidRPr="00FB26EA">
        <w:rPr>
          <w:rFonts w:eastAsia="Times New Roman"/>
          <w:b/>
        </w:rPr>
        <w:t xml:space="preserve">                   </w:t>
      </w:r>
      <w:r w:rsidR="00B472D9" w:rsidRPr="003A4D6C">
        <w:rPr>
          <w:rFonts w:eastAsia="Times New Roman"/>
          <w:b/>
          <w:u w:val="single"/>
        </w:rPr>
        <w:t xml:space="preserve">Πίνακας </w:t>
      </w:r>
      <w:r w:rsidR="0022781B">
        <w:rPr>
          <w:rFonts w:eastAsia="Times New Roman"/>
          <w:b/>
          <w:u w:val="single"/>
        </w:rPr>
        <w:t>5</w:t>
      </w:r>
      <w:r w:rsidR="00B472D9">
        <w:rPr>
          <w:rFonts w:eastAsia="Times New Roman"/>
          <w:b/>
          <w:u w:val="single"/>
        </w:rPr>
        <w:t xml:space="preserve"> </w:t>
      </w:r>
      <w:r w:rsidR="00B472D9" w:rsidRPr="003A4D6C">
        <w:rPr>
          <w:rFonts w:eastAsia="Times New Roman"/>
          <w:b/>
          <w:u w:val="single"/>
        </w:rPr>
        <w:t>:</w:t>
      </w:r>
      <w:r w:rsidR="00B472D9" w:rsidRPr="00EA69B0">
        <w:rPr>
          <w:rFonts w:eastAsia="Times New Roman"/>
          <w:b/>
        </w:rPr>
        <w:t xml:space="preserve"> </w:t>
      </w:r>
      <w:r w:rsidR="00B472D9">
        <w:rPr>
          <w:rFonts w:eastAsia="Times New Roman"/>
        </w:rPr>
        <w:t>Πλήθος συντάξεων ανά συνταξιούχο</w:t>
      </w:r>
    </w:p>
    <w:p w:rsidR="00116F4B" w:rsidRDefault="00116F4B" w:rsidP="00C352F2">
      <w:pPr>
        <w:spacing w:before="120"/>
        <w:ind w:left="1276"/>
        <w:rPr>
          <w:rFonts w:eastAsia="Times New Roman"/>
          <w:b/>
        </w:rPr>
      </w:pPr>
    </w:p>
    <w:p w:rsidR="007A4E92" w:rsidRDefault="007A4E92" w:rsidP="00C352F2">
      <w:pPr>
        <w:spacing w:before="120"/>
        <w:ind w:left="1276"/>
        <w:rPr>
          <w:rFonts w:eastAsia="Times New Roman"/>
          <w:b/>
        </w:rPr>
      </w:pPr>
    </w:p>
    <w:p w:rsidR="00D410CF" w:rsidRPr="007A4E92" w:rsidRDefault="00D410CF" w:rsidP="007A4E92">
      <w:pPr>
        <w:pStyle w:val="2"/>
        <w:spacing w:line="360" w:lineRule="auto"/>
        <w:rPr>
          <w:rFonts w:ascii="Calibri" w:hAnsi="Calibri"/>
          <w:color w:val="1F497D"/>
          <w:sz w:val="24"/>
          <w:szCs w:val="24"/>
        </w:rPr>
      </w:pPr>
      <w:bookmarkStart w:id="6" w:name="_Toc365980344"/>
      <w:r w:rsidRPr="007A4E92">
        <w:rPr>
          <w:rFonts w:ascii="Calibri" w:hAnsi="Calibri"/>
          <w:color w:val="1F497D"/>
          <w:sz w:val="24"/>
          <w:szCs w:val="24"/>
        </w:rPr>
        <w:lastRenderedPageBreak/>
        <w:t>2.2  Κατανομή Συνταξιούχων ανά Ηλικία</w:t>
      </w:r>
      <w:bookmarkEnd w:id="6"/>
      <w:r w:rsidRPr="007A4E92">
        <w:rPr>
          <w:rFonts w:ascii="Calibri" w:hAnsi="Calibri"/>
          <w:color w:val="1F497D"/>
          <w:sz w:val="24"/>
          <w:szCs w:val="24"/>
        </w:rPr>
        <w:t xml:space="preserve"> </w:t>
      </w:r>
    </w:p>
    <w:p w:rsidR="00D410CF" w:rsidRDefault="00D410CF" w:rsidP="00FD69B8">
      <w:pPr>
        <w:spacing w:after="0" w:line="240" w:lineRule="auto"/>
        <w:jc w:val="both"/>
      </w:pPr>
      <w:r>
        <w:t xml:space="preserve">Στον πίνακα 6 </w:t>
      </w:r>
      <w:r w:rsidR="00F67C21">
        <w:t xml:space="preserve">και το διάγραμμα 2 που ακολουθούν </w:t>
      </w:r>
      <w:r>
        <w:t xml:space="preserve">παρουσιάζονται αναλυτικά στοιχεία για την κατανομή των συνταξιούχων </w:t>
      </w:r>
      <w:r w:rsidR="00887B1C">
        <w:t xml:space="preserve">και του εισοδήματός τους </w:t>
      </w:r>
      <w:r>
        <w:t xml:space="preserve">ανά </w:t>
      </w:r>
      <w:r w:rsidR="00FD69B8">
        <w:t xml:space="preserve">ηλικία. </w:t>
      </w:r>
      <w:r>
        <w:t xml:space="preserve"> Παρατηρείται</w:t>
      </w:r>
      <w:r w:rsidR="00FD69B8">
        <w:t xml:space="preserve">, </w:t>
      </w:r>
      <w:r>
        <w:t xml:space="preserve"> πως το 58% του συνολικού αριθμού των συνταξιούχων είναι ηλικίας άνω των 70 ετών, το 26% κυμαίνεται μεταξύ 61-69 ετών και μόλις το 1% αφορά σε συνταξιούχους ηλικίας μικρότερης των 25 ετών. Επισημαίνεται ότι ο αριθμός αυτός αφορά σε συντάξεις που λαμβάνουν τα τέκνα λόγω θανάτου. </w:t>
      </w:r>
      <w:r w:rsidR="00887B1C">
        <w:t>Επιπλέον, συνταξιούχοι ηλικίας 61-65 ετών λαμβάνουν</w:t>
      </w:r>
      <w:r w:rsidR="00111E69">
        <w:t xml:space="preserve"> κατά μέσο όρο </w:t>
      </w:r>
      <w:r w:rsidR="00887B1C">
        <w:t xml:space="preserve"> τα μεγαλύτερα ποσά σύνταξης. </w:t>
      </w:r>
    </w:p>
    <w:p w:rsidR="00FD69B8" w:rsidRPr="00887B1C" w:rsidRDefault="00FD69B8" w:rsidP="00FD69B8">
      <w:pPr>
        <w:spacing w:after="0" w:line="240" w:lineRule="auto"/>
        <w:jc w:val="both"/>
      </w:pPr>
    </w:p>
    <w:tbl>
      <w:tblPr>
        <w:tblW w:w="56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508"/>
        <w:gridCol w:w="1636"/>
        <w:gridCol w:w="1316"/>
      </w:tblGrid>
      <w:tr w:rsidR="0041668C" w:rsidRPr="0041668C" w:rsidTr="0041668C">
        <w:trPr>
          <w:trHeight w:val="735"/>
          <w:jc w:val="center"/>
        </w:trPr>
        <w:tc>
          <w:tcPr>
            <w:tcW w:w="1676" w:type="dxa"/>
            <w:shd w:val="clear" w:color="auto" w:fill="1F497D" w:themeFill="text2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41668C">
              <w:rPr>
                <w:rFonts w:eastAsia="Times New Roman"/>
                <w:b/>
                <w:color w:val="FFFFFF" w:themeColor="background1"/>
                <w:lang w:eastAsia="el-GR"/>
              </w:rPr>
              <w:t>Ηλικία</w:t>
            </w:r>
          </w:p>
        </w:tc>
        <w:tc>
          <w:tcPr>
            <w:tcW w:w="976" w:type="dxa"/>
            <w:shd w:val="clear" w:color="auto" w:fill="1F497D" w:themeFill="text2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41668C">
              <w:rPr>
                <w:rFonts w:eastAsia="Times New Roman"/>
                <w:b/>
                <w:color w:val="FFFFFF" w:themeColor="background1"/>
                <w:lang w:eastAsia="el-GR"/>
              </w:rPr>
              <w:t>Πλήθος</w:t>
            </w:r>
            <w:r>
              <w:rPr>
                <w:rFonts w:eastAsia="Times New Roman"/>
                <w:b/>
                <w:color w:val="FFFFFF" w:themeColor="background1"/>
                <w:lang w:eastAsia="el-GR"/>
              </w:rPr>
              <w:t xml:space="preserve"> Συνταξιούχων</w:t>
            </w:r>
          </w:p>
        </w:tc>
        <w:tc>
          <w:tcPr>
            <w:tcW w:w="1636" w:type="dxa"/>
            <w:shd w:val="clear" w:color="auto" w:fill="1F497D" w:themeFill="text2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41668C">
              <w:rPr>
                <w:rFonts w:eastAsia="Times New Roman"/>
                <w:b/>
                <w:color w:val="FFFFFF" w:themeColor="background1"/>
                <w:lang w:eastAsia="el-GR"/>
              </w:rPr>
              <w:t>Μηνιαίο Ποσό</w:t>
            </w:r>
          </w:p>
        </w:tc>
        <w:tc>
          <w:tcPr>
            <w:tcW w:w="1316" w:type="dxa"/>
            <w:shd w:val="clear" w:color="auto" w:fill="1F497D" w:themeFill="text2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41668C">
              <w:rPr>
                <w:rFonts w:eastAsia="Times New Roman"/>
                <w:b/>
                <w:color w:val="FFFFFF" w:themeColor="background1"/>
                <w:lang w:eastAsia="el-GR"/>
              </w:rPr>
              <w:t>Μέση Σύνταξη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&lt;=25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27.367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10.757.017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393,07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26-50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90.447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63.486.463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701,92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51-55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104.575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100.356.341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959,66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56-60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204.825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218.319.030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1.065,88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61-65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324.534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356.338.332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1.098,00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66-69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384.901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359.795.164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934,77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&gt;=70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1.569.419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1.194.081.764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760,84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Α</w:t>
            </w:r>
            <w:r>
              <w:rPr>
                <w:rFonts w:eastAsia="Times New Roman"/>
                <w:color w:val="000000"/>
                <w:lang w:eastAsia="el-GR"/>
              </w:rPr>
              <w:t>προσδιόριστη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856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298.842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41668C">
              <w:rPr>
                <w:rFonts w:eastAsia="Times New Roman"/>
                <w:color w:val="000000"/>
                <w:lang w:eastAsia="el-GR"/>
              </w:rPr>
              <w:t>349,11</w:t>
            </w:r>
          </w:p>
        </w:tc>
      </w:tr>
      <w:tr w:rsidR="0041668C" w:rsidRPr="0041668C" w:rsidTr="0041668C">
        <w:trPr>
          <w:trHeight w:val="300"/>
          <w:jc w:val="center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000000"/>
                <w:lang w:eastAsia="el-GR"/>
              </w:rPr>
            </w:pPr>
            <w:r w:rsidRPr="0041668C">
              <w:rPr>
                <w:rFonts w:eastAsia="Times New Roman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  <w:r w:rsidRPr="0041668C">
              <w:rPr>
                <w:rFonts w:eastAsia="Times New Roman"/>
                <w:b/>
                <w:color w:val="000000"/>
                <w:lang w:eastAsia="el-GR"/>
              </w:rPr>
              <w:t>2.706.924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l-GR"/>
              </w:rPr>
            </w:pPr>
            <w:r w:rsidRPr="0041668C">
              <w:rPr>
                <w:rFonts w:eastAsia="Times New Roman"/>
                <w:b/>
                <w:color w:val="000000"/>
                <w:lang w:eastAsia="el-GR"/>
              </w:rPr>
              <w:t>2.303.432.954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41668C" w:rsidRPr="0041668C" w:rsidRDefault="0041668C" w:rsidP="0041668C">
            <w:pPr>
              <w:spacing w:after="0" w:line="240" w:lineRule="auto"/>
              <w:rPr>
                <w:rFonts w:eastAsia="Times New Roman"/>
                <w:b/>
                <w:color w:val="000000"/>
                <w:lang w:eastAsia="el-GR"/>
              </w:rPr>
            </w:pPr>
          </w:p>
        </w:tc>
      </w:tr>
    </w:tbl>
    <w:p w:rsidR="00D410CF" w:rsidRPr="00BB28CF" w:rsidRDefault="00D410CF" w:rsidP="00D410CF">
      <w:pPr>
        <w:keepNext/>
        <w:spacing w:before="120" w:after="0" w:line="240" w:lineRule="auto"/>
        <w:rPr>
          <w:rFonts w:eastAsia="Times New Roman"/>
          <w:color w:val="000000"/>
          <w:lang w:eastAsia="el-GR"/>
        </w:rPr>
      </w:pPr>
      <w:r w:rsidRPr="00BB28CF">
        <w:rPr>
          <w:rFonts w:eastAsia="Times New Roman"/>
          <w:b/>
          <w:color w:val="000000"/>
          <w:lang w:eastAsia="el-GR"/>
        </w:rPr>
        <w:t xml:space="preserve">           </w:t>
      </w:r>
      <w:r w:rsidR="0041668C">
        <w:rPr>
          <w:rFonts w:eastAsia="Times New Roman"/>
          <w:b/>
          <w:color w:val="000000"/>
          <w:lang w:eastAsia="el-GR"/>
        </w:rPr>
        <w:t xml:space="preserve">        </w:t>
      </w:r>
      <w:r w:rsidRPr="00BB28CF">
        <w:rPr>
          <w:rFonts w:eastAsia="Times New Roman"/>
          <w:b/>
          <w:color w:val="000000"/>
          <w:lang w:eastAsia="el-GR"/>
        </w:rPr>
        <w:t xml:space="preserve"> </w:t>
      </w:r>
      <w:r>
        <w:rPr>
          <w:rFonts w:eastAsia="Times New Roman"/>
          <w:b/>
          <w:color w:val="000000"/>
          <w:u w:val="single"/>
          <w:lang w:eastAsia="el-GR"/>
        </w:rPr>
        <w:t>Πίνακας</w:t>
      </w:r>
      <w:r w:rsidRPr="0006125B">
        <w:rPr>
          <w:rFonts w:eastAsia="Times New Roman"/>
          <w:b/>
          <w:color w:val="000000"/>
          <w:u w:val="single"/>
          <w:lang w:eastAsia="el-GR"/>
        </w:rPr>
        <w:t xml:space="preserve"> </w:t>
      </w:r>
      <w:r>
        <w:rPr>
          <w:rFonts w:eastAsia="Times New Roman"/>
          <w:b/>
          <w:color w:val="000000"/>
          <w:u w:val="single"/>
          <w:lang w:eastAsia="el-GR"/>
        </w:rPr>
        <w:t>6</w:t>
      </w:r>
      <w:r w:rsidRPr="00CA3AAC">
        <w:rPr>
          <w:rFonts w:eastAsia="Times New Roman"/>
          <w:b/>
          <w:color w:val="000000"/>
          <w:lang w:eastAsia="el-GR"/>
        </w:rPr>
        <w:t xml:space="preserve"> :</w:t>
      </w:r>
      <w:r>
        <w:rPr>
          <w:rFonts w:eastAsia="Times New Roman"/>
          <w:color w:val="000000"/>
          <w:lang w:eastAsia="el-GR"/>
        </w:rPr>
        <w:t xml:space="preserve"> Πλήθος Συνταξιούχων </w:t>
      </w:r>
      <w:r w:rsidR="0041668C">
        <w:rPr>
          <w:rFonts w:eastAsia="Times New Roman"/>
          <w:color w:val="000000"/>
          <w:lang w:eastAsia="el-GR"/>
        </w:rPr>
        <w:t xml:space="preserve">και μέσο μηνιαίο εισόδημα </w:t>
      </w:r>
      <w:r>
        <w:rPr>
          <w:rFonts w:eastAsia="Times New Roman"/>
          <w:color w:val="000000"/>
          <w:lang w:eastAsia="el-GR"/>
        </w:rPr>
        <w:t xml:space="preserve">ανά Ηλικία </w:t>
      </w:r>
    </w:p>
    <w:p w:rsidR="00D410CF" w:rsidRDefault="00D410CF" w:rsidP="00D410CF">
      <w:pPr>
        <w:spacing w:after="120"/>
        <w:jc w:val="both"/>
      </w:pPr>
    </w:p>
    <w:p w:rsidR="00D410CF" w:rsidRDefault="00D410CF" w:rsidP="00D410CF">
      <w:pPr>
        <w:spacing w:after="120"/>
        <w:jc w:val="center"/>
      </w:pPr>
      <w:r w:rsidRPr="00244530">
        <w:rPr>
          <w:noProof/>
          <w:lang w:eastAsia="el-GR"/>
        </w:rPr>
        <w:drawing>
          <wp:inline distT="0" distB="0" distL="0" distR="0">
            <wp:extent cx="4705350" cy="3086100"/>
            <wp:effectExtent l="19050" t="0" r="19050" b="0"/>
            <wp:docPr id="9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0CF" w:rsidRPr="00244530" w:rsidRDefault="00D410CF" w:rsidP="00D410CF">
      <w:pPr>
        <w:spacing w:after="120"/>
        <w:jc w:val="both"/>
      </w:pPr>
      <w:r w:rsidRPr="00BB28CF">
        <w:rPr>
          <w:b/>
          <w:i/>
        </w:rPr>
        <w:t xml:space="preserve">         </w:t>
      </w:r>
      <w:r w:rsidRPr="00244530">
        <w:rPr>
          <w:b/>
          <w:u w:val="single"/>
        </w:rPr>
        <w:t>Διάγραμμα 2:</w:t>
      </w:r>
      <w:r w:rsidRPr="00244530">
        <w:t xml:space="preserve"> </w:t>
      </w:r>
      <w:r>
        <w:t>Ποσοστιαία Κατανομή Συνταξιούχων ανά Ηλικία</w:t>
      </w:r>
    </w:p>
    <w:p w:rsidR="00D410CF" w:rsidRDefault="00D410CF" w:rsidP="00C352F2">
      <w:pPr>
        <w:spacing w:before="120"/>
        <w:ind w:left="1276"/>
        <w:rPr>
          <w:rFonts w:eastAsia="Times New Roman"/>
          <w:b/>
        </w:rPr>
      </w:pPr>
    </w:p>
    <w:p w:rsidR="00D410CF" w:rsidRDefault="00D410CF" w:rsidP="00C352F2">
      <w:pPr>
        <w:spacing w:before="120"/>
        <w:ind w:left="1276"/>
        <w:rPr>
          <w:rFonts w:eastAsia="Times New Roman"/>
          <w:b/>
        </w:rPr>
      </w:pPr>
    </w:p>
    <w:p w:rsidR="00D410CF" w:rsidRDefault="00D410CF" w:rsidP="00C352F2">
      <w:pPr>
        <w:spacing w:before="120"/>
        <w:ind w:left="1276"/>
        <w:rPr>
          <w:rFonts w:eastAsia="Times New Roman"/>
          <w:b/>
        </w:rPr>
      </w:pPr>
    </w:p>
    <w:p w:rsidR="006B390F" w:rsidRDefault="00F20CF6" w:rsidP="00FC33AA">
      <w:pPr>
        <w:pStyle w:val="2"/>
        <w:spacing w:line="360" w:lineRule="auto"/>
        <w:rPr>
          <w:rFonts w:ascii="Calibri" w:hAnsi="Calibri"/>
          <w:color w:val="1F497D"/>
          <w:sz w:val="24"/>
          <w:szCs w:val="24"/>
        </w:rPr>
      </w:pPr>
      <w:bookmarkStart w:id="7" w:name="_Toc365980345"/>
      <w:r>
        <w:rPr>
          <w:rFonts w:ascii="Calibri" w:hAnsi="Calibri"/>
          <w:color w:val="1F497D"/>
          <w:sz w:val="24"/>
          <w:szCs w:val="24"/>
        </w:rPr>
        <w:t>2</w:t>
      </w:r>
      <w:r w:rsidR="00747DE6">
        <w:rPr>
          <w:rFonts w:ascii="Calibri" w:hAnsi="Calibri"/>
          <w:color w:val="1F497D"/>
          <w:sz w:val="24"/>
          <w:szCs w:val="24"/>
        </w:rPr>
        <w:t>.</w:t>
      </w:r>
      <w:r w:rsidR="00D410CF">
        <w:rPr>
          <w:rFonts w:ascii="Calibri" w:hAnsi="Calibri"/>
          <w:color w:val="1F497D"/>
          <w:sz w:val="24"/>
          <w:szCs w:val="24"/>
        </w:rPr>
        <w:t>3</w:t>
      </w:r>
      <w:r w:rsidR="002B14C3">
        <w:rPr>
          <w:rFonts w:ascii="Calibri" w:hAnsi="Calibri"/>
          <w:color w:val="1F497D"/>
          <w:sz w:val="24"/>
          <w:szCs w:val="24"/>
        </w:rPr>
        <w:t xml:space="preserve"> </w:t>
      </w:r>
      <w:r w:rsidR="006B390F" w:rsidRPr="005E5F8B">
        <w:rPr>
          <w:rFonts w:ascii="Calibri" w:hAnsi="Calibri"/>
          <w:color w:val="1F497D"/>
          <w:sz w:val="24"/>
          <w:szCs w:val="24"/>
        </w:rPr>
        <w:t xml:space="preserve"> </w:t>
      </w:r>
      <w:bookmarkStart w:id="8" w:name="_Toc355082969"/>
      <w:r w:rsidR="00FC33AA">
        <w:rPr>
          <w:rFonts w:ascii="Calibri" w:hAnsi="Calibri"/>
          <w:color w:val="1F497D"/>
          <w:sz w:val="24"/>
          <w:szCs w:val="24"/>
        </w:rPr>
        <w:t xml:space="preserve">Ανάλυση Συντάξεων ανά Κατηγορία </w:t>
      </w:r>
      <w:bookmarkEnd w:id="8"/>
      <w:r w:rsidR="00D04396">
        <w:rPr>
          <w:rFonts w:ascii="Calibri" w:hAnsi="Calibri"/>
          <w:color w:val="1F497D"/>
          <w:sz w:val="24"/>
          <w:szCs w:val="24"/>
        </w:rPr>
        <w:t>και κλίμακα ποσού</w:t>
      </w:r>
      <w:bookmarkEnd w:id="7"/>
    </w:p>
    <w:p w:rsidR="004B38B5" w:rsidRDefault="00BC75BE" w:rsidP="00FD7601">
      <w:pPr>
        <w:spacing w:after="120"/>
        <w:jc w:val="both"/>
      </w:pPr>
      <w:r>
        <w:t>Το</w:t>
      </w:r>
      <w:r w:rsidRPr="00BC75BE">
        <w:t xml:space="preserve"> </w:t>
      </w:r>
      <w:r>
        <w:t xml:space="preserve">Σεπτέμβριο </w:t>
      </w:r>
      <w:r w:rsidR="002B14C3">
        <w:t xml:space="preserve">του 2013 πληρώθηκαν συνολικά </w:t>
      </w:r>
      <w:r w:rsidR="007375E3">
        <w:rPr>
          <w:b/>
        </w:rPr>
        <w:t>4.45</w:t>
      </w:r>
      <w:r w:rsidR="0022781B">
        <w:rPr>
          <w:b/>
        </w:rPr>
        <w:t>5.</w:t>
      </w:r>
      <w:r w:rsidR="007375E3">
        <w:rPr>
          <w:b/>
        </w:rPr>
        <w:t>847</w:t>
      </w:r>
      <w:r w:rsidR="002B14C3">
        <w:t xml:space="preserve"> συντάξεις, από τις οποίες οι </w:t>
      </w:r>
      <w:r w:rsidR="007375E3">
        <w:rPr>
          <w:b/>
        </w:rPr>
        <w:t>2.897.195</w:t>
      </w:r>
      <w:r w:rsidR="002B14C3">
        <w:t xml:space="preserve"> </w:t>
      </w:r>
      <w:r w:rsidR="00811C57">
        <w:t xml:space="preserve">ήταν </w:t>
      </w:r>
      <w:r w:rsidR="002B14C3">
        <w:t xml:space="preserve">κύριες και </w:t>
      </w:r>
      <w:r w:rsidR="007375E3">
        <w:rPr>
          <w:b/>
        </w:rPr>
        <w:t>1.553.159</w:t>
      </w:r>
      <w:r w:rsidR="001747D7">
        <w:t xml:space="preserve"> επικουρικές. </w:t>
      </w:r>
      <w:r w:rsidR="004B38B5">
        <w:t xml:space="preserve">Το συνολικό ποσό που κατέβαλλαν τα ταμεία ανήλθε σε </w:t>
      </w:r>
      <w:r w:rsidR="007375E3">
        <w:rPr>
          <w:b/>
        </w:rPr>
        <w:t>2.303.432.953,73</w:t>
      </w:r>
      <w:r w:rsidR="009274F2" w:rsidRPr="009274F2">
        <w:rPr>
          <w:b/>
        </w:rPr>
        <w:t>€.</w:t>
      </w:r>
      <w:r w:rsidR="00FF6A41" w:rsidRPr="00FF6A41">
        <w:t xml:space="preserve"> </w:t>
      </w:r>
      <w:r w:rsidR="004B38B5">
        <w:t xml:space="preserve">Αναλυτικά στοιχεία ανά κατηγορία σύνταξης αποτυπώνονται στον πίνακα </w:t>
      </w:r>
      <w:r w:rsidR="00D410CF">
        <w:t>7</w:t>
      </w:r>
      <w:r w:rsidR="004B38B5">
        <w:t xml:space="preserve"> και στο διάγραμμα</w:t>
      </w:r>
      <w:r w:rsidR="00D410CF">
        <w:t xml:space="preserve"> 3</w:t>
      </w:r>
      <w:r w:rsidR="001747D7">
        <w:t xml:space="preserve"> που ακολουθούν</w:t>
      </w:r>
      <w:r w:rsidR="004B38B5">
        <w:t>.</w:t>
      </w:r>
    </w:p>
    <w:tbl>
      <w:tblPr>
        <w:tblW w:w="6818" w:type="dxa"/>
        <w:jc w:val="center"/>
        <w:tblInd w:w="103" w:type="dxa"/>
        <w:tblLook w:val="04A0"/>
      </w:tblPr>
      <w:tblGrid>
        <w:gridCol w:w="3258"/>
        <w:gridCol w:w="1400"/>
        <w:gridCol w:w="2160"/>
      </w:tblGrid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Κατηγορία Σύνταξης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Μηνιαίο Ποσό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Α. Κύρια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2.897.195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2.020.582.226,29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1.989.680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1.522.292.837,11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Θανάτου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578.494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317.851.275,17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Αναπηρική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269.054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146.704.579,42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Ανασφάλιστων Υπερηλίκων ΟΓΑ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39.249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14.136.114,90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Χωρίς Ένδειξη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20.718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19.597.419,69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Β. Επικουρική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1.553.159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275.350.840,09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1.123.551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214.867.080,25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Θανάτου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245.395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32.210.112,24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Αναπηρική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77.435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12.336.851,04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Χωρίς Ένδειξη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106.778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15.936.796,56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Γ. Χωρίς Ένδειξη Κατηγορίας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162B06">
              <w:rPr>
                <w:rFonts w:eastAsia="Times New Roman"/>
                <w:b/>
                <w:bCs/>
                <w:lang w:eastAsia="el-GR"/>
              </w:rPr>
              <w:t>5.493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7.499.887,35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Γήρατος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5.478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7.496.293,74</w:t>
            </w:r>
          </w:p>
        </w:tc>
      </w:tr>
      <w:tr w:rsidR="00162B06" w:rsidRPr="00162B06" w:rsidTr="00A623A1">
        <w:trPr>
          <w:trHeight w:val="300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Θανάτου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2.004,81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Αναπηρική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162B06">
              <w:rPr>
                <w:rFonts w:eastAsia="Times New Roman"/>
                <w:color w:val="000000"/>
                <w:lang w:eastAsia="el-GR"/>
              </w:rPr>
              <w:t>1.588,80</w:t>
            </w:r>
          </w:p>
        </w:tc>
      </w:tr>
      <w:tr w:rsidR="00162B06" w:rsidRPr="00162B06" w:rsidTr="00A623A1"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4.455.847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B06" w:rsidRPr="00162B06" w:rsidRDefault="00162B06" w:rsidP="00A623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162B06">
              <w:rPr>
                <w:rFonts w:eastAsia="Times New Roman"/>
                <w:b/>
                <w:bCs/>
                <w:color w:val="000000"/>
                <w:lang w:eastAsia="el-GR"/>
              </w:rPr>
              <w:t>2.303.432.953,73</w:t>
            </w:r>
          </w:p>
        </w:tc>
      </w:tr>
    </w:tbl>
    <w:p w:rsidR="006B0643" w:rsidRPr="000E017B" w:rsidRDefault="002B14C3" w:rsidP="00561341">
      <w:pPr>
        <w:spacing w:before="120" w:line="240" w:lineRule="auto"/>
        <w:ind w:left="567"/>
        <w:rPr>
          <w:rFonts w:eastAsia="Times New Roman"/>
          <w:color w:val="000000"/>
          <w:lang w:eastAsia="el-GR"/>
        </w:rPr>
      </w:pPr>
      <w:bookmarkStart w:id="9" w:name="_Toc355082922"/>
      <w:bookmarkStart w:id="10" w:name="_Toc355082970"/>
      <w:bookmarkStart w:id="11" w:name="_Toc355083303"/>
      <w:bookmarkStart w:id="12" w:name="_Toc355085854"/>
      <w:bookmarkStart w:id="13" w:name="_Toc355085878"/>
      <w:bookmarkStart w:id="14" w:name="_Toc357608153"/>
      <w:bookmarkStart w:id="15" w:name="_Toc357608289"/>
      <w:bookmarkStart w:id="16" w:name="_Toc357608333"/>
      <w:r>
        <w:rPr>
          <w:b/>
          <w:i/>
          <w:color w:val="404040"/>
          <w:sz w:val="24"/>
          <w:szCs w:val="24"/>
        </w:rPr>
        <w:t xml:space="preserve"> </w:t>
      </w:r>
      <w:r w:rsidR="006B0643" w:rsidRPr="00A8573E">
        <w:rPr>
          <w:b/>
          <w:color w:val="404040"/>
          <w:sz w:val="24"/>
          <w:szCs w:val="24"/>
          <w:u w:val="single"/>
        </w:rPr>
        <w:t xml:space="preserve">Πίνακας </w:t>
      </w:r>
      <w:r w:rsidR="00D410CF">
        <w:rPr>
          <w:b/>
          <w:color w:val="404040"/>
          <w:sz w:val="24"/>
          <w:szCs w:val="24"/>
          <w:u w:val="single"/>
        </w:rPr>
        <w:t>7</w:t>
      </w:r>
      <w:r w:rsidR="00A8573E" w:rsidRPr="00A8573E">
        <w:rPr>
          <w:rFonts w:eastAsia="Times New Roman"/>
          <w:color w:val="000000"/>
          <w:lang w:eastAsia="el-GR"/>
        </w:rPr>
        <w:t>:</w:t>
      </w:r>
      <w:r w:rsidRPr="00CD7D14">
        <w:rPr>
          <w:rFonts w:eastAsia="Times New Roman"/>
          <w:color w:val="000000"/>
          <w:lang w:eastAsia="el-GR"/>
        </w:rPr>
        <w:t xml:space="preserve"> Κατανομή Συντάξεων ανά Κατηγορία Σύνταξης</w:t>
      </w:r>
    </w:p>
    <w:p w:rsidR="007375E3" w:rsidRDefault="004B38B5" w:rsidP="007375E3">
      <w:pPr>
        <w:jc w:val="both"/>
      </w:pPr>
      <w:r>
        <w:t>Ένα</w:t>
      </w:r>
      <w:r w:rsidR="0022781B">
        <w:t>ς μικρός αριθμός συντάξεων (5.</w:t>
      </w:r>
      <w:r w:rsidR="007375E3">
        <w:t>493</w:t>
      </w:r>
      <w:r>
        <w:t>) δεν έχει ένδειξη στα αρχεία που έλαβε η Η</w:t>
      </w:r>
      <w:r w:rsidR="00635C4C">
        <w:t>.</w:t>
      </w:r>
      <w:r>
        <w:t>ΔΙ</w:t>
      </w:r>
      <w:r w:rsidR="00635C4C">
        <w:t>.</w:t>
      </w:r>
      <w:r>
        <w:t>Κ</w:t>
      </w:r>
      <w:r w:rsidR="00635C4C">
        <w:t>.</w:t>
      </w:r>
      <w:r>
        <w:t>Α</w:t>
      </w:r>
      <w:r w:rsidR="00635C4C">
        <w:t>. Α.Ε.</w:t>
      </w:r>
      <w:r>
        <w:t xml:space="preserve"> από τα ταμεία και αποτυπώνονται στον παραπάνω πίνακα στην τρίτη κατηγορία «Χωρίς Ένδειξη</w:t>
      </w:r>
      <w:r w:rsidR="00650906">
        <w:t xml:space="preserve"> Κατηγορίας</w:t>
      </w:r>
      <w:r>
        <w:t xml:space="preserve">». </w:t>
      </w:r>
    </w:p>
    <w:p w:rsidR="004B38B5" w:rsidRDefault="007375E3" w:rsidP="007375E3">
      <w:pPr>
        <w:tabs>
          <w:tab w:val="left" w:pos="2820"/>
        </w:tabs>
        <w:jc w:val="center"/>
        <w:rPr>
          <w:noProof/>
          <w:lang w:eastAsia="el-GR"/>
        </w:rPr>
      </w:pPr>
      <w:r w:rsidRPr="007375E3">
        <w:rPr>
          <w:noProof/>
          <w:lang w:eastAsia="el-GR"/>
        </w:rPr>
        <w:lastRenderedPageBreak/>
        <w:drawing>
          <wp:inline distT="0" distB="0" distL="0" distR="0">
            <wp:extent cx="4895850" cy="2905125"/>
            <wp:effectExtent l="19050" t="0" r="19050" b="0"/>
            <wp:docPr id="5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7DE6" w:rsidRDefault="007375E3" w:rsidP="00747DE6">
      <w:pPr>
        <w:rPr>
          <w:rFonts w:eastAsia="Times New Roman"/>
          <w:color w:val="000000"/>
          <w:lang w:eastAsia="el-GR"/>
        </w:rPr>
      </w:pPr>
      <w:r w:rsidRPr="007375E3">
        <w:rPr>
          <w:b/>
          <w:color w:val="404040"/>
          <w:sz w:val="24"/>
          <w:szCs w:val="24"/>
        </w:rPr>
        <w:t xml:space="preserve">       </w:t>
      </w:r>
      <w:r w:rsidR="00747DE6">
        <w:rPr>
          <w:b/>
          <w:color w:val="404040"/>
          <w:sz w:val="24"/>
          <w:szCs w:val="24"/>
          <w:u w:val="single"/>
        </w:rPr>
        <w:t xml:space="preserve">Διάγραμμα </w:t>
      </w:r>
      <w:r w:rsidR="00D410CF">
        <w:rPr>
          <w:b/>
          <w:color w:val="404040"/>
          <w:sz w:val="24"/>
          <w:szCs w:val="24"/>
          <w:u w:val="single"/>
        </w:rPr>
        <w:t>3</w:t>
      </w:r>
      <w:r w:rsidR="00747DE6" w:rsidRPr="00A8573E">
        <w:rPr>
          <w:rFonts w:eastAsia="Times New Roman"/>
          <w:color w:val="000000"/>
          <w:lang w:eastAsia="el-GR"/>
        </w:rPr>
        <w:t>:</w:t>
      </w:r>
      <w:r w:rsidR="00747DE6" w:rsidRPr="00CD7D14">
        <w:rPr>
          <w:rFonts w:eastAsia="Times New Roman"/>
          <w:color w:val="000000"/>
          <w:lang w:eastAsia="el-GR"/>
        </w:rPr>
        <w:t xml:space="preserve"> Κατανομή Συντάξεων ανά Κατηγορία Σύνταξης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p w:rsidR="004913C2" w:rsidRDefault="004913C2" w:rsidP="00FD7601">
      <w:pPr>
        <w:jc w:val="both"/>
      </w:pPr>
      <w:r>
        <w:t xml:space="preserve">Αναλύοντας τα δεδομένα των συντάξεων σε </w:t>
      </w:r>
      <w:r w:rsidR="00DD5E10">
        <w:t>κλίμακες</w:t>
      </w:r>
      <w:r>
        <w:t xml:space="preserve"> </w:t>
      </w:r>
      <w:r w:rsidR="00F85961">
        <w:t>με</w:t>
      </w:r>
      <w:r w:rsidR="00DD5E10">
        <w:t xml:space="preserve"> κριτήριο </w:t>
      </w:r>
      <w:r w:rsidR="00F85961">
        <w:t xml:space="preserve">το ποσό της </w:t>
      </w:r>
      <w:r w:rsidR="00CC3D55">
        <w:t>σύνταξης</w:t>
      </w:r>
      <w:r w:rsidR="0092752D" w:rsidRPr="0092752D">
        <w:t>,</w:t>
      </w:r>
      <w:r w:rsidR="003435E5">
        <w:t xml:space="preserve"> προκύπτει</w:t>
      </w:r>
      <w:r>
        <w:t xml:space="preserve"> ότι </w:t>
      </w:r>
      <w:r w:rsidR="00CC3D55">
        <w:t xml:space="preserve">η πλειοψηφία των κυρίων </w:t>
      </w:r>
      <w:r w:rsidR="003D6D92">
        <w:t xml:space="preserve">συντάξεων βρίσκεται στο εύρος </w:t>
      </w:r>
      <w:r w:rsidR="003435E5">
        <w:t>500-1000€</w:t>
      </w:r>
      <w:r w:rsidR="00CC3D55">
        <w:t>. Επίσης</w:t>
      </w:r>
      <w:r w:rsidR="00C5499B" w:rsidRPr="00C5499B">
        <w:t xml:space="preserve">, </w:t>
      </w:r>
      <w:r w:rsidR="00CC3D55">
        <w:t xml:space="preserve"> σημαντικό ποσοστό στις κύρι</w:t>
      </w:r>
      <w:r w:rsidR="00CF0057">
        <w:t>ες συντάξεις γήρατος (περίπου 29</w:t>
      </w:r>
      <w:r w:rsidR="00947C8F">
        <w:t>%) ξεπερνά  τα 1.000</w:t>
      </w:r>
      <w:r w:rsidR="00CC3D55">
        <w:t>€. Επισημαίνεται</w:t>
      </w:r>
      <w:r w:rsidR="00C5499B" w:rsidRPr="00C5499B">
        <w:t>,</w:t>
      </w:r>
      <w:r w:rsidR="00CC3D55">
        <w:t xml:space="preserve"> ότι η εν λόγω ανάλυση αφορά συντάξεις και όχι εισόδημα συνταξιούχου</w:t>
      </w:r>
      <w:r w:rsidR="00DD5E10">
        <w:t>,</w:t>
      </w:r>
      <w:r w:rsidR="005E6526">
        <w:t xml:space="preserve"> στο οποίο όπως αναφέρθηκε και στην </w:t>
      </w:r>
      <w:r w:rsidR="00635C4C">
        <w:t xml:space="preserve">πρώτη ενότητα </w:t>
      </w:r>
      <w:r w:rsidR="005E6526">
        <w:t>αθροί</w:t>
      </w:r>
      <w:r w:rsidR="00635C4C">
        <w:t xml:space="preserve">ζονται περισσότερες συντάξεις </w:t>
      </w:r>
      <w:r w:rsidR="00CC3D55">
        <w:t>κατά</w:t>
      </w:r>
      <w:r w:rsidR="005E6526">
        <w:t xml:space="preserve"> κανόνα. </w:t>
      </w:r>
      <w:r w:rsidR="00CC3D55">
        <w:t xml:space="preserve">   </w:t>
      </w:r>
      <w:r>
        <w:t xml:space="preserve">  </w:t>
      </w:r>
    </w:p>
    <w:p w:rsidR="00A623A1" w:rsidRDefault="008719D9" w:rsidP="00FD7601">
      <w:pPr>
        <w:jc w:val="both"/>
      </w:pPr>
      <w:r>
        <w:t xml:space="preserve">Στον πίνακα </w:t>
      </w:r>
      <w:r w:rsidR="00D410CF">
        <w:t>8</w:t>
      </w:r>
      <w:r w:rsidR="00306F88">
        <w:t xml:space="preserve"> </w:t>
      </w:r>
      <w:r w:rsidRPr="008719D9">
        <w:t xml:space="preserve"> </w:t>
      </w:r>
      <w:r w:rsidR="00A8573E">
        <w:t>που ακολουθεί</w:t>
      </w:r>
      <w:r w:rsidR="005E6526">
        <w:t xml:space="preserve"> κατανέμονται οι συντάξεις ανά κατηγορία και εύρος ποσού. </w:t>
      </w:r>
      <w:r w:rsidR="00623605">
        <w:t>Στην κατηγορία</w:t>
      </w:r>
      <w:r w:rsidR="00623605" w:rsidRPr="00623605">
        <w:t xml:space="preserve"> </w:t>
      </w:r>
      <w:r w:rsidR="00D04396">
        <w:t xml:space="preserve">«γήρατος» έχουν συμπεριληφθεί και </w:t>
      </w:r>
      <w:r w:rsidR="00367042">
        <w:t xml:space="preserve">οι συντάξεις ανασφάλιστων υπερηλίκων του ΟΓΑ. </w:t>
      </w:r>
      <w:r w:rsidR="005E6526">
        <w:t xml:space="preserve">Τα ποσά σε κάθε περίπτωση είναι προ κρατήσεων φόρου και υγειονομικής περίθαλψης. </w:t>
      </w:r>
    </w:p>
    <w:p w:rsidR="00A623A1" w:rsidRDefault="00A623A1">
      <w:pPr>
        <w:spacing w:after="0" w:line="240" w:lineRule="auto"/>
      </w:pPr>
      <w:r>
        <w:br w:type="page"/>
      </w:r>
    </w:p>
    <w:p w:rsidR="005E6526" w:rsidRDefault="005E6526" w:rsidP="00FD7601">
      <w:pPr>
        <w:jc w:val="both"/>
      </w:pPr>
    </w:p>
    <w:tbl>
      <w:tblPr>
        <w:tblW w:w="9738" w:type="dxa"/>
        <w:tblInd w:w="-601" w:type="dxa"/>
        <w:tblLook w:val="04A0"/>
      </w:tblPr>
      <w:tblGrid>
        <w:gridCol w:w="1702"/>
        <w:gridCol w:w="1115"/>
        <w:gridCol w:w="1031"/>
        <w:gridCol w:w="944"/>
        <w:gridCol w:w="996"/>
        <w:gridCol w:w="1017"/>
        <w:gridCol w:w="996"/>
        <w:gridCol w:w="944"/>
        <w:gridCol w:w="996"/>
      </w:tblGrid>
      <w:tr w:rsidR="008D635B" w:rsidRPr="00B228F9" w:rsidTr="00A623A1">
        <w:trPr>
          <w:trHeight w:val="291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FB4F4F" w:rsidRPr="00A623A1" w:rsidRDefault="00A623A1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val="en-US" w:eastAsia="el-GR"/>
              </w:rPr>
            </w:pPr>
            <w:r w:rsidRPr="00CD0CAE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Εύρος Ποσού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Γήρατος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Θανάτου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Αναπηρικές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Λοιπές</w:t>
            </w:r>
          </w:p>
        </w:tc>
      </w:tr>
      <w:tr w:rsidR="00B228F9" w:rsidRPr="00B228F9" w:rsidTr="00A623A1">
        <w:trPr>
          <w:trHeight w:val="306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FFFFFF" w:themeColor="background1"/>
                <w:lang w:eastAsia="el-G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Μ.Ο.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Πλήθος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lang w:eastAsia="el-GR"/>
              </w:rPr>
            </w:pPr>
            <w:r w:rsidRPr="00FB4F4F">
              <w:rPr>
                <w:rFonts w:eastAsia="Times New Roman"/>
                <w:color w:val="FFFFFF" w:themeColor="background1"/>
                <w:lang w:eastAsia="el-GR"/>
              </w:rPr>
              <w:t>Μ.Ο.</w:t>
            </w:r>
          </w:p>
        </w:tc>
      </w:tr>
      <w:tr w:rsidR="008D635B" w:rsidRPr="00FB4F4F" w:rsidTr="00A623A1">
        <w:trPr>
          <w:trHeight w:val="1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Α. Κύριες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FB4F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8D635B" w:rsidRPr="00FB4F4F" w:rsidTr="00A623A1">
        <w:trPr>
          <w:trHeight w:val="32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0-500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663.997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371,44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262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878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314,96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138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691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373,5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373,92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500-1000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763.075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676,08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278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688,95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115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657,29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7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401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7256CA" w:rsidP="007256C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774,7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1000-1500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519.874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233,84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363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159,9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569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191,35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083,18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1500-2000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78.923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643,69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690,58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644,79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7256CA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213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665,54</w:t>
            </w:r>
          </w:p>
        </w:tc>
      </w:tr>
      <w:tr w:rsidR="008D635B" w:rsidRPr="00FB4F4F" w:rsidTr="00A623A1">
        <w:trPr>
          <w:trHeight w:val="2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2000-2500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2.243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220,12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113,78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7256CA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169,13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224,93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Άνω των 2.500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7256CA" w:rsidP="007256C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  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817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683,51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416,81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7256CA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070,93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038,65</w:t>
            </w:r>
          </w:p>
        </w:tc>
      </w:tr>
      <w:tr w:rsidR="008D635B" w:rsidRPr="00FB4F4F" w:rsidTr="00A623A1">
        <w:trPr>
          <w:trHeight w:val="30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Σύνολο Κύριες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2.028.929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578.494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269.054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20.718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Β. Επικουρικές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0-500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1.114.757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187,92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245.073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130,62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77.145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157,6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106.760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149,18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500-1000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AF5E9C" w:rsidP="00AF5E9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      </w:t>
            </w:r>
            <w:r w:rsidR="00FB4F4F" w:rsidRPr="00FB4F4F">
              <w:rPr>
                <w:rFonts w:eastAsia="Times New Roman"/>
                <w:color w:val="000000"/>
                <w:lang w:eastAsia="el-GR"/>
              </w:rPr>
              <w:t>8.518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592,61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316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602,19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283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604,05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565,76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1000-1500</w:t>
            </w:r>
          </w:p>
        </w:tc>
        <w:tc>
          <w:tcPr>
            <w:tcW w:w="1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254</w:t>
            </w:r>
          </w:p>
        </w:tc>
        <w:tc>
          <w:tcPr>
            <w:tcW w:w="103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168,15</w:t>
            </w:r>
          </w:p>
        </w:tc>
        <w:tc>
          <w:tcPr>
            <w:tcW w:w="94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162,14</w:t>
            </w: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142,51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1500-2000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599,65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731,95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2000-2500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33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Άνω των 2.500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623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3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Σύνολο Επικουρικές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1.123.551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245.395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77.435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106.778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  <w:tr w:rsidR="008D635B" w:rsidRPr="00FB4F4F" w:rsidTr="00A623A1">
        <w:trPr>
          <w:trHeight w:val="3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Γ. Λοιπές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el-GR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0-500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AF5E9C" w:rsidP="00AF5E9C">
            <w:pPr>
              <w:spacing w:after="0" w:line="240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        </w:t>
            </w:r>
            <w:r w:rsidR="00FB4F4F" w:rsidRPr="00FB4F4F">
              <w:rPr>
                <w:rFonts w:eastAsia="Times New Roman"/>
                <w:lang w:eastAsia="el-GR"/>
              </w:rPr>
              <w:t>109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315,18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200,48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317,76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500-1000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1.088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819,67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1000-1500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2.139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248,43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1500-2000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1.768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1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728,78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2000-2500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315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168,78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Άνω των 2.500</w:t>
            </w:r>
          </w:p>
        </w:tc>
        <w:tc>
          <w:tcPr>
            <w:tcW w:w="1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lang w:eastAsia="el-GR"/>
              </w:rPr>
            </w:pPr>
            <w:r w:rsidRPr="00FB4F4F">
              <w:rPr>
                <w:rFonts w:eastAsia="Times New Roman"/>
                <w:lang w:eastAsia="el-GR"/>
              </w:rPr>
              <w:t>59</w:t>
            </w:r>
          </w:p>
        </w:tc>
        <w:tc>
          <w:tcPr>
            <w:tcW w:w="103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2</w:t>
            </w:r>
            <w:r w:rsidR="008D635B">
              <w:rPr>
                <w:rFonts w:eastAsia="Times New Roman"/>
                <w:color w:val="000000"/>
                <w:lang w:eastAsia="el-GR"/>
              </w:rPr>
              <w:t>.</w:t>
            </w:r>
            <w:r w:rsidRPr="00FB4F4F">
              <w:rPr>
                <w:rFonts w:eastAsia="Times New Roman"/>
                <w:color w:val="000000"/>
                <w:lang w:eastAsia="el-GR"/>
              </w:rPr>
              <w:t>713,71</w:t>
            </w:r>
          </w:p>
        </w:tc>
        <w:tc>
          <w:tcPr>
            <w:tcW w:w="94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AF5E9C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ind w:firstLineChars="200" w:firstLine="44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FB4F4F">
              <w:rPr>
                <w:rFonts w:eastAsia="Times New Roman"/>
                <w:color w:val="000000"/>
                <w:lang w:eastAsia="el-GR"/>
              </w:rPr>
              <w:t>0</w:t>
            </w:r>
          </w:p>
        </w:tc>
      </w:tr>
      <w:tr w:rsidR="008D635B" w:rsidRPr="00FB4F4F" w:rsidTr="00A623A1"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FB4F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Σύνολο Λοιπές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FB4F4F">
              <w:rPr>
                <w:rFonts w:eastAsia="Times New Roman"/>
                <w:b/>
                <w:bCs/>
                <w:lang w:eastAsia="el-GR"/>
              </w:rPr>
              <w:t>5.478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AF5E9C" w:rsidP="00AF5E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      </w:t>
            </w:r>
            <w:r w:rsidR="00FB4F4F" w:rsidRPr="00FB4F4F">
              <w:rPr>
                <w:rFonts w:eastAsia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FB4F4F">
              <w:rPr>
                <w:rFonts w:eastAsia="Times New Roman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4F" w:rsidRPr="00FB4F4F" w:rsidRDefault="00FB4F4F" w:rsidP="008D6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306F88" w:rsidRPr="00D14ED5" w:rsidRDefault="00D410CF" w:rsidP="00701C69">
      <w:pPr>
        <w:spacing w:before="120" w:line="360" w:lineRule="auto"/>
        <w:jc w:val="both"/>
      </w:pPr>
      <w:r>
        <w:rPr>
          <w:b/>
          <w:u w:val="single"/>
        </w:rPr>
        <w:t>Πίνακας 8</w:t>
      </w:r>
      <w:r w:rsidR="00D14ED5" w:rsidRPr="00D14ED5">
        <w:rPr>
          <w:b/>
          <w:u w:val="single"/>
        </w:rPr>
        <w:t>:</w:t>
      </w:r>
      <w:r w:rsidR="00D14ED5" w:rsidRPr="00D14ED5">
        <w:t xml:space="preserve"> Κατανομή Συντάξεων ανά εύρος καταβαλλόμενου ποσού</w:t>
      </w:r>
    </w:p>
    <w:p w:rsidR="00701C69" w:rsidRDefault="00701C69">
      <w:pPr>
        <w:spacing w:after="0" w:line="240" w:lineRule="auto"/>
        <w:rPr>
          <w:rFonts w:eastAsia="Times New Roman"/>
          <w:b/>
          <w:bCs/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br w:type="page"/>
      </w:r>
    </w:p>
    <w:p w:rsidR="006B39C0" w:rsidRDefault="00D410CF" w:rsidP="00DB2EF8">
      <w:pPr>
        <w:pStyle w:val="2"/>
        <w:spacing w:before="0" w:after="200"/>
        <w:rPr>
          <w:rFonts w:ascii="Calibri" w:hAnsi="Calibri"/>
          <w:color w:val="1F497D"/>
          <w:sz w:val="24"/>
          <w:szCs w:val="24"/>
        </w:rPr>
      </w:pPr>
      <w:bookmarkStart w:id="17" w:name="_Toc365980346"/>
      <w:r>
        <w:rPr>
          <w:rFonts w:ascii="Calibri" w:hAnsi="Calibri"/>
          <w:color w:val="1F497D"/>
          <w:sz w:val="24"/>
          <w:szCs w:val="24"/>
        </w:rPr>
        <w:lastRenderedPageBreak/>
        <w:t>2.4</w:t>
      </w:r>
      <w:r w:rsidR="00CD7D14">
        <w:rPr>
          <w:rFonts w:ascii="Calibri" w:hAnsi="Calibri"/>
          <w:color w:val="1F497D"/>
          <w:sz w:val="24"/>
          <w:szCs w:val="24"/>
        </w:rPr>
        <w:t xml:space="preserve"> </w:t>
      </w:r>
      <w:r w:rsidR="00CD7D14" w:rsidRPr="005E5F8B">
        <w:rPr>
          <w:rFonts w:ascii="Calibri" w:hAnsi="Calibri"/>
          <w:color w:val="1F497D"/>
          <w:sz w:val="24"/>
          <w:szCs w:val="24"/>
        </w:rPr>
        <w:t xml:space="preserve"> </w:t>
      </w:r>
      <w:r w:rsidR="006B39C0">
        <w:rPr>
          <w:rFonts w:ascii="Calibri" w:hAnsi="Calibri"/>
          <w:color w:val="1F497D"/>
          <w:sz w:val="24"/>
          <w:szCs w:val="24"/>
        </w:rPr>
        <w:t>Γεωγραφική κατανομή συντάξεων</w:t>
      </w:r>
      <w:bookmarkEnd w:id="17"/>
    </w:p>
    <w:p w:rsidR="00225366" w:rsidRDefault="00DE0DA4" w:rsidP="00FD7601">
      <w:pPr>
        <w:jc w:val="both"/>
      </w:pPr>
      <w:r>
        <w:t>Όπως προκύπτει από τ</w:t>
      </w:r>
      <w:r w:rsidR="007C36D2">
        <w:t>ην επεξεργασία</w:t>
      </w:r>
      <w:r w:rsidR="009B6707">
        <w:t xml:space="preserve"> του πεδίου του</w:t>
      </w:r>
      <w:r w:rsidR="007C36D2">
        <w:t xml:space="preserve"> ταχυδρομικού</w:t>
      </w:r>
      <w:r w:rsidR="007C36D2" w:rsidRPr="007C36D2">
        <w:t xml:space="preserve"> </w:t>
      </w:r>
      <w:r>
        <w:t>κώδικα των</w:t>
      </w:r>
      <w:r w:rsidR="00225366">
        <w:t xml:space="preserve"> δικαιούχων στα αρχεία των συντάξεων, </w:t>
      </w:r>
      <w:r>
        <w:t xml:space="preserve">ο μεγαλύτερος αριθμός συντάξεων καταβάλλεται στην Αττική </w:t>
      </w:r>
      <w:r w:rsidR="00D17057">
        <w:t>(</w:t>
      </w:r>
      <w:r w:rsidR="00CE6727">
        <w:t>1.710.506</w:t>
      </w:r>
      <w:r w:rsidR="00D17057">
        <w:t>)</w:t>
      </w:r>
      <w:r w:rsidR="00010C6C">
        <w:t xml:space="preserve"> και την Κεντρική Μακεδονία </w:t>
      </w:r>
      <w:r w:rsidR="00D17057">
        <w:t>(</w:t>
      </w:r>
      <w:r w:rsidR="00CE6727">
        <w:t>733.079</w:t>
      </w:r>
      <w:r w:rsidR="00D17057">
        <w:t>)</w:t>
      </w:r>
      <w:r w:rsidR="007C36D2">
        <w:t>.</w:t>
      </w:r>
      <w:r w:rsidR="007C36D2" w:rsidRPr="007C36D2">
        <w:t xml:space="preserve"> </w:t>
      </w:r>
      <w:r w:rsidR="00010C6C">
        <w:t xml:space="preserve">Ακολουθεί η Θεσσαλία με </w:t>
      </w:r>
      <w:r w:rsidR="00CE6727">
        <w:t>308.713</w:t>
      </w:r>
      <w:r w:rsidR="00010C6C">
        <w:t xml:space="preserve"> συντάξεις και η Δυτική Ελλάδα με </w:t>
      </w:r>
      <w:r w:rsidR="000F6FA3">
        <w:t>260.</w:t>
      </w:r>
      <w:r w:rsidR="00CE6727">
        <w:t>900</w:t>
      </w:r>
      <w:r w:rsidR="00BA592E">
        <w:t>.</w:t>
      </w:r>
      <w:r w:rsidR="00010C6C">
        <w:t xml:space="preserve"> </w:t>
      </w:r>
      <w:r w:rsidR="00280977">
        <w:t xml:space="preserve">Στον πίνακα </w:t>
      </w:r>
      <w:r w:rsidR="00D410CF">
        <w:t>9</w:t>
      </w:r>
      <w:r w:rsidR="00280977">
        <w:t xml:space="preserve"> </w:t>
      </w:r>
      <w:r w:rsidR="00BA592E">
        <w:t>αποτυπώνεται η γεωγραφική κατανομή των συντάξεων ανά περιφέρεια και κατηγορία σύνταξης.</w:t>
      </w:r>
    </w:p>
    <w:tbl>
      <w:tblPr>
        <w:tblW w:w="7920" w:type="dxa"/>
        <w:jc w:val="center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20"/>
        <w:gridCol w:w="1207"/>
        <w:gridCol w:w="1108"/>
        <w:gridCol w:w="1054"/>
        <w:gridCol w:w="1320"/>
        <w:gridCol w:w="1360"/>
      </w:tblGrid>
      <w:tr w:rsidR="00CE6727" w:rsidRPr="00CE6727" w:rsidTr="003E42F8">
        <w:trPr>
          <w:trHeight w:val="600"/>
          <w:jc w:val="center"/>
        </w:trPr>
        <w:tc>
          <w:tcPr>
            <w:tcW w:w="2120" w:type="dxa"/>
            <w:shd w:val="clear" w:color="auto" w:fill="1F497D" w:themeFill="text2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Περιφέρεια</w:t>
            </w:r>
          </w:p>
        </w:tc>
        <w:tc>
          <w:tcPr>
            <w:tcW w:w="1200" w:type="dxa"/>
            <w:shd w:val="clear" w:color="auto" w:fill="1F497D" w:themeFill="text2"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Σύνολο Συντάξεων</w:t>
            </w:r>
          </w:p>
        </w:tc>
        <w:tc>
          <w:tcPr>
            <w:tcW w:w="960" w:type="dxa"/>
            <w:shd w:val="clear" w:color="auto" w:fill="1F497D" w:themeFill="text2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Γήρατος</w:t>
            </w:r>
          </w:p>
        </w:tc>
        <w:tc>
          <w:tcPr>
            <w:tcW w:w="960" w:type="dxa"/>
            <w:shd w:val="clear" w:color="auto" w:fill="1F497D" w:themeFill="text2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Θανάτου</w:t>
            </w:r>
          </w:p>
        </w:tc>
        <w:tc>
          <w:tcPr>
            <w:tcW w:w="1320" w:type="dxa"/>
            <w:shd w:val="clear" w:color="auto" w:fill="1F497D" w:themeFill="text2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Αναπηρίας</w:t>
            </w:r>
          </w:p>
        </w:tc>
        <w:tc>
          <w:tcPr>
            <w:tcW w:w="1360" w:type="dxa"/>
            <w:shd w:val="clear" w:color="auto" w:fill="1F497D" w:themeFill="text2"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l-GR"/>
              </w:rPr>
            </w:pPr>
            <w:r w:rsidRPr="00CE6727">
              <w:rPr>
                <w:rFonts w:eastAsia="Times New Roman"/>
                <w:b/>
                <w:color w:val="FFFFFF" w:themeColor="background1"/>
                <w:lang w:eastAsia="el-GR"/>
              </w:rPr>
              <w:t>Άλλη/Χωρίς Ένδειξη</w:t>
            </w:r>
          </w:p>
        </w:tc>
      </w:tr>
      <w:tr w:rsidR="00CE6727" w:rsidRPr="00CE6727" w:rsidTr="003E42F8">
        <w:trPr>
          <w:trHeight w:val="600"/>
          <w:jc w:val="center"/>
        </w:trPr>
        <w:tc>
          <w:tcPr>
            <w:tcW w:w="2120" w:type="dxa"/>
            <w:shd w:val="clear" w:color="auto" w:fill="auto"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Ανατολικής Μακεδονίας Θράκης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237.536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168.902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35.176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25.362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8.096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Κεντρική Μακεδονίας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733.079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523.184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128.664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58.179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23.052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Ήπειρος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149.670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108.081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21.232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14.923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5.434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Δυτική Μακεδονία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112.522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81.391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18.543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10.379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2.209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Θεσσαλία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308.713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218.482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49.537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31.486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9.208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Ιόνια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79.505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57.707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13.180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7.050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1.568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Στερεάς Ελλάδας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224.381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158.668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41.481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19.327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4.905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Αττική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1.710.506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1.195.973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369.502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98.074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46.957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Δυτική Ελλάδα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260.900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186.959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43.148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23.918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6.875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Πελοπόννησος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225.351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167.119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33.577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18.916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5.739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Κρήτη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223.664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156.244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35.500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23.953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7.967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Νότιο Αιγαίο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96.361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70.016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17.274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7.400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1.671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Βόρειο Αιγαίο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80.383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56.970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14.187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7.081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2.145</w:t>
            </w:r>
          </w:p>
        </w:tc>
      </w:tr>
      <w:tr w:rsidR="00CE6727" w:rsidRPr="00CE6727" w:rsidTr="003E42F8">
        <w:trPr>
          <w:trHeight w:val="300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Χωρίς Τιμές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13.276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8.262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2.898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446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E6727" w:rsidRPr="00CE6727" w:rsidRDefault="00CE6727" w:rsidP="00CE67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CE6727">
              <w:rPr>
                <w:rFonts w:eastAsia="Times New Roman"/>
                <w:color w:val="000000"/>
                <w:lang w:eastAsia="el-GR"/>
              </w:rPr>
              <w:t>1.670</w:t>
            </w:r>
          </w:p>
        </w:tc>
      </w:tr>
    </w:tbl>
    <w:p w:rsidR="00BA592E" w:rsidRPr="00BA592E" w:rsidRDefault="00BA592E" w:rsidP="0086612C">
      <w:pPr>
        <w:spacing w:before="120" w:after="120"/>
        <w:jc w:val="both"/>
      </w:pPr>
      <w:r w:rsidRPr="00BA592E">
        <w:rPr>
          <w:b/>
          <w:u w:val="single"/>
        </w:rPr>
        <w:t xml:space="preserve">Πίνακας </w:t>
      </w:r>
      <w:r w:rsidR="00D410CF">
        <w:rPr>
          <w:b/>
          <w:u w:val="single"/>
        </w:rPr>
        <w:t>9</w:t>
      </w:r>
      <w:r w:rsidRPr="00BA592E">
        <w:rPr>
          <w:b/>
          <w:u w:val="single"/>
          <w:lang w:val="en-US"/>
        </w:rPr>
        <w:t>:</w:t>
      </w:r>
      <w:r>
        <w:rPr>
          <w:lang w:val="en-US"/>
        </w:rPr>
        <w:t xml:space="preserve"> </w:t>
      </w:r>
      <w:r>
        <w:t xml:space="preserve">Γεωγραφική Κατανομή Συντάξεων </w:t>
      </w:r>
    </w:p>
    <w:p w:rsidR="006B39C0" w:rsidRDefault="009038E2" w:rsidP="00DB2EF8">
      <w:pPr>
        <w:jc w:val="both"/>
      </w:pPr>
      <w:r>
        <w:t>Για 13.</w:t>
      </w:r>
      <w:r w:rsidR="00CE6727">
        <w:t>276</w:t>
      </w:r>
      <w:r>
        <w:t xml:space="preserve"> εγγραφές δεν υπήρχε ένδειξη ΤΚ και για το λόγο αυτό δ</w:t>
      </w:r>
      <w:r w:rsidR="000C6E7F">
        <w:t>εν περιλαμβάνονται στον πίνακα 9</w:t>
      </w:r>
      <w:r>
        <w:t xml:space="preserve">. </w:t>
      </w:r>
      <w:r w:rsidR="00010C6C">
        <w:t>Στο</w:t>
      </w:r>
      <w:r>
        <w:t xml:space="preserve"> </w:t>
      </w:r>
      <w:r w:rsidR="00010C6C">
        <w:t xml:space="preserve"> χάρτη που ακολουθεί </w:t>
      </w:r>
      <w:r w:rsidR="00CF0057">
        <w:t>αποτυπώνεται ο αριθμός συντάξεων</w:t>
      </w:r>
      <w:r w:rsidR="00010C6C">
        <w:t xml:space="preserve"> που καταβάλ</w:t>
      </w:r>
      <w:r w:rsidR="00CF0057">
        <w:t>λεται</w:t>
      </w:r>
      <w:r w:rsidR="00010C6C">
        <w:t xml:space="preserve"> στις 13  περιφέρειες της χώρας.  </w:t>
      </w:r>
      <w:r w:rsidR="00DE0DA4">
        <w:t xml:space="preserve"> </w:t>
      </w:r>
    </w:p>
    <w:p w:rsidR="000F6FA3" w:rsidRPr="009038E2" w:rsidRDefault="00AE2FCC" w:rsidP="0086612C">
      <w:pPr>
        <w:spacing w:after="120"/>
        <w:jc w:val="center"/>
      </w:pPr>
      <w:r>
        <w:rPr>
          <w:noProof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1pt;margin-top:2in;width:46.5pt;height:32.25pt;z-index:251659776" filled="f" stroked="f">
            <v:textbox style="mso-next-textbox:#_x0000_s1034">
              <w:txbxContent>
                <w:p w:rsidR="00043656" w:rsidRPr="00D0221C" w:rsidRDefault="00043656" w:rsidP="008C41D4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ΑΤΤΙΚΗ 1.710.506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left:0;text-align:left;margin-left:171.75pt;margin-top:18pt;width:54.75pt;height:32.25pt;z-index:251652608" filled="f" stroked="f">
            <v:textbox style="mso-next-textbox:#_x0000_s1027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ΚΕΝΤΡΙΚΗ ΜΑΚΕΔΟΝΙΑ 733.079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left:0;text-align:left;margin-left:119.25pt;margin-top:127.5pt;width:46.5pt;height:32.25pt;z-index:251658752" filled="f" stroked="f">
            <v:textbox style="mso-next-textbox:#_x0000_s1033">
              <w:txbxContent>
                <w:p w:rsidR="00043656" w:rsidRPr="00D0221C" w:rsidRDefault="00043656" w:rsidP="008C41D4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ΔΥΤΙΚΗ ΕΛΛΑΔΑ 260.900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8" type="#_x0000_t202" style="position:absolute;left:0;text-align:left;margin-left:137.25pt;margin-top:155.25pt;width:58.5pt;height:36.75pt;z-index:251663872" filled="f" stroked="f">
            <v:textbox style="mso-next-textbox:#_x0000_s1038">
              <w:txbxContent>
                <w:p w:rsidR="00043656" w:rsidRPr="00D0221C" w:rsidRDefault="00043656" w:rsidP="007C11AE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ΠΕΛΟΠΟΝΝΗΣΟΣ 225.351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left:0;text-align:left;margin-left:228.75pt;margin-top:85.5pt;width:52.5pt;height:32.25pt;z-index:251661824" filled="f" stroked="f">
            <v:textbox style="mso-next-textbox:#_x0000_s1036">
              <w:txbxContent>
                <w:p w:rsidR="00043656" w:rsidRPr="00D0221C" w:rsidRDefault="00043656" w:rsidP="008C41D4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ΒΟΡΕΙΟ ΑΙΓΑΙΟ 80.383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left:0;text-align:left;margin-left:171.75pt;margin-top:111.75pt;width:46.5pt;height:32.25pt;z-index:251657728" filled="f" stroked="f">
            <v:textbox style="mso-next-textbox:#_x0000_s1032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ΣΤΕΡΕΑ ΕΛΛΑΔΑ 224.381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5" type="#_x0000_t202" style="position:absolute;left:0;text-align:left;margin-left:207.75pt;margin-top:246.75pt;width:66pt;height:32.25pt;z-index:251660800" filled="f" stroked="f">
            <v:textbox style="mso-next-textbox:#_x0000_s1035">
              <w:txbxContent>
                <w:p w:rsidR="00043656" w:rsidRPr="00D0221C" w:rsidRDefault="00043656" w:rsidP="008C41D4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ΚΡΗΤΗ 223.664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7" type="#_x0000_t202" style="position:absolute;left:0;text-align:left;margin-left:254.25pt;margin-top:159.75pt;width:52.5pt;height:32.25pt;z-index:251662848" filled="f" stroked="f">
            <v:textbox style="mso-next-textbox:#_x0000_s1037">
              <w:txbxContent>
                <w:p w:rsidR="00043656" w:rsidRPr="00D0221C" w:rsidRDefault="00043656" w:rsidP="008C41D4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ΝΟΤΙΟ ΑΙΓΑΙΟ 96.361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left:0;text-align:left;margin-left:72.75pt;margin-top:100.5pt;width:46.5pt;height:32.25pt;z-index:251656704" filled="f" stroked="f">
            <v:textbox style="mso-next-textbox:#_x0000_s1031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ΙΟΝΙΑ ΝΗΣΙΑ 79.505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left:0;text-align:left;margin-left:142.5pt;margin-top:79.5pt;width:53.25pt;height:32.25pt;z-index:251655680" filled="f" stroked="f">
            <v:textbox style="mso-next-textbox:#_x0000_s1030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ΘΕΣΣΑΛΙΑ 308.713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left:0;text-align:left;margin-left:96pt;margin-top:79.5pt;width:46.5pt;height:32.25pt;z-index:251654656" filled="f" stroked="f">
            <v:textbox style="mso-next-textbox:#_x0000_s1029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ΗΠΕΙΡΟΣ 149.670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left:0;text-align:left;margin-left:119.25pt;margin-top:42.75pt;width:54.75pt;height:32.25pt;z-index:251653632" filled="f" stroked="f">
            <v:textbox style="mso-next-textbox:#_x0000_s1028">
              <w:txbxContent>
                <w:p w:rsidR="00043656" w:rsidRPr="00D0221C" w:rsidRDefault="00043656" w:rsidP="000F6FA3">
                  <w:pPr>
                    <w:rPr>
                      <w:b/>
                      <w:color w:val="C0504D"/>
                      <w:sz w:val="12"/>
                      <w:szCs w:val="12"/>
                    </w:rPr>
                  </w:pPr>
                  <w:r>
                    <w:rPr>
                      <w:b/>
                      <w:color w:val="C0504D"/>
                      <w:sz w:val="12"/>
                      <w:szCs w:val="12"/>
                    </w:rPr>
                    <w:t>ΔΥΤΙΚΗ ΜΑΚΕΔΟΝΙΑ 112.522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left:0;text-align:left;margin-left:260.25pt;margin-top:7.35pt;width:62.25pt;height:28.5pt;z-index:251651584" filled="f" stroked="f">
            <v:textbox style="mso-next-textbox:#_x0000_s1026">
              <w:txbxContent>
                <w:p w:rsidR="00043656" w:rsidRPr="00D0221C" w:rsidRDefault="00043656">
                  <w:pPr>
                    <w:rPr>
                      <w:b/>
                      <w:color w:val="C0504D"/>
                      <w:sz w:val="16"/>
                      <w:szCs w:val="16"/>
                    </w:rPr>
                  </w:pPr>
                  <w:r w:rsidRPr="00D0221C">
                    <w:rPr>
                      <w:b/>
                      <w:color w:val="C0504D"/>
                      <w:sz w:val="12"/>
                      <w:szCs w:val="12"/>
                    </w:rPr>
                    <w:t>ΑΝ.ΜΑΚΕΔΟΝΙΑ ΘΡΑΚΗ</w:t>
                  </w:r>
                  <w:r w:rsidRPr="00D0221C">
                    <w:rPr>
                      <w:b/>
                      <w:color w:val="C0504D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C0504D"/>
                      <w:sz w:val="12"/>
                      <w:szCs w:val="12"/>
                    </w:rPr>
                    <w:t>237.536</w:t>
                  </w:r>
                </w:p>
              </w:txbxContent>
            </v:textbox>
          </v:shape>
        </w:pict>
      </w:r>
      <w:r w:rsidR="008345B5">
        <w:rPr>
          <w:noProof/>
          <w:lang w:eastAsia="el-GR"/>
        </w:rPr>
        <w:drawing>
          <wp:inline distT="0" distB="0" distL="0" distR="0">
            <wp:extent cx="3352800" cy="3524250"/>
            <wp:effectExtent l="19050" t="0" r="0" b="0"/>
            <wp:docPr id="7" name="9 - Εικόνα" descr="Χάρτης Ελλάδα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- Εικόνα" descr="Χάρτης Ελλάδα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C0" w:rsidRDefault="00010C6C" w:rsidP="0086612C">
      <w:pPr>
        <w:spacing w:after="120"/>
        <w:ind w:left="-142" w:hanging="142"/>
        <w:jc w:val="center"/>
      </w:pPr>
      <w:r w:rsidRPr="00A8573E">
        <w:rPr>
          <w:b/>
          <w:u w:val="single"/>
        </w:rPr>
        <w:t>Χάρτης 1:</w:t>
      </w:r>
      <w:r>
        <w:t xml:space="preserve"> Καταβολή Συντάξεων ανά Περιφέρεια</w:t>
      </w:r>
      <w:r w:rsidR="006B39C0" w:rsidRPr="006B39C0">
        <w:t xml:space="preserve"> </w:t>
      </w:r>
    </w:p>
    <w:p w:rsidR="00C5499B" w:rsidRDefault="00225366" w:rsidP="009E442E">
      <w:pPr>
        <w:jc w:val="both"/>
        <w:rPr>
          <w:rFonts w:eastAsia="Times New Roman"/>
        </w:rPr>
      </w:pPr>
      <w:r>
        <w:rPr>
          <w:rFonts w:eastAsia="Times New Roman"/>
        </w:rPr>
        <w:t>Στον</w:t>
      </w:r>
      <w:r w:rsidR="00EA69B0">
        <w:rPr>
          <w:rFonts w:eastAsia="Times New Roman"/>
        </w:rPr>
        <w:t xml:space="preserve"> Πίνακα </w:t>
      </w:r>
      <w:r w:rsidR="00D410CF">
        <w:rPr>
          <w:rFonts w:eastAsia="Times New Roman"/>
        </w:rPr>
        <w:t>10</w:t>
      </w:r>
      <w:r w:rsidR="00E406EE">
        <w:rPr>
          <w:rFonts w:eastAsia="Times New Roman"/>
        </w:rPr>
        <w:t xml:space="preserve"> </w:t>
      </w:r>
      <w:r>
        <w:rPr>
          <w:rFonts w:eastAsia="Times New Roman"/>
        </w:rPr>
        <w:t>αποτυπώνονται τα ποσά σύνταξης που αντιστοιχούν σε κάθε Περιφέρεια σε σχέση με το αντίστοιχο ΑΕΠ για το έτος 2010</w:t>
      </w:r>
      <w:r w:rsidR="009038E2">
        <w:rPr>
          <w:rFonts w:eastAsia="Times New Roman"/>
        </w:rPr>
        <w:t xml:space="preserve"> (προσωρινά στοιχεία ΕΛΣΤΑΤ)</w:t>
      </w:r>
      <w:r>
        <w:rPr>
          <w:rFonts w:eastAsia="Times New Roman"/>
        </w:rPr>
        <w:t>.</w:t>
      </w:r>
      <w:r w:rsidR="00666E21">
        <w:rPr>
          <w:rFonts w:eastAsia="Times New Roman"/>
        </w:rPr>
        <w:t xml:space="preserve"> </w:t>
      </w:r>
      <w:r>
        <w:rPr>
          <w:rFonts w:eastAsia="Times New Roman"/>
        </w:rPr>
        <w:t>Σύμ</w:t>
      </w:r>
      <w:r w:rsidR="00F00121">
        <w:rPr>
          <w:rFonts w:eastAsia="Times New Roman"/>
        </w:rPr>
        <w:t xml:space="preserve">φωνα με τα δεδομένα του Πίνακα </w:t>
      </w:r>
      <w:r w:rsidR="00AF547A">
        <w:rPr>
          <w:rFonts w:eastAsia="Times New Roman"/>
        </w:rPr>
        <w:t>10</w:t>
      </w:r>
      <w:r>
        <w:rPr>
          <w:rFonts w:eastAsia="Times New Roman"/>
        </w:rPr>
        <w:t xml:space="preserve">, </w:t>
      </w:r>
      <w:r w:rsidR="00666E21">
        <w:rPr>
          <w:rFonts w:eastAsia="Times New Roman"/>
        </w:rPr>
        <w:t xml:space="preserve">στην Περιφέρεια Ηπείρου </w:t>
      </w:r>
      <w:r>
        <w:rPr>
          <w:rFonts w:eastAsia="Times New Roman"/>
        </w:rPr>
        <w:t>παρα</w:t>
      </w:r>
      <w:r w:rsidR="00DA0729">
        <w:rPr>
          <w:rFonts w:eastAsia="Times New Roman"/>
        </w:rPr>
        <w:t>τηρείται η μεγαλύτερη τιμή (17,5</w:t>
      </w:r>
      <w:r>
        <w:rPr>
          <w:rFonts w:eastAsia="Times New Roman"/>
        </w:rPr>
        <w:t>%)</w:t>
      </w:r>
      <w:r w:rsidR="00EA69B0">
        <w:rPr>
          <w:rFonts w:eastAsia="Times New Roman"/>
        </w:rPr>
        <w:t xml:space="preserve"> </w:t>
      </w:r>
      <w:r w:rsidR="00791262">
        <w:rPr>
          <w:rFonts w:eastAsia="Times New Roman"/>
        </w:rPr>
        <w:t xml:space="preserve">του </w:t>
      </w:r>
      <w:r w:rsidR="001319C8">
        <w:rPr>
          <w:rFonts w:eastAsia="Times New Roman"/>
        </w:rPr>
        <w:t xml:space="preserve">λόγου ποσού </w:t>
      </w:r>
      <w:r>
        <w:rPr>
          <w:rFonts w:eastAsia="Times New Roman"/>
        </w:rPr>
        <w:t>σύνταξης προς ΑΕΠ και ακολουθεί η Περιφέρεια Θεσσαλία</w:t>
      </w:r>
      <w:r w:rsidR="00CF0057">
        <w:rPr>
          <w:rFonts w:eastAsia="Times New Roman"/>
        </w:rPr>
        <w:t>ς</w:t>
      </w:r>
      <w:r>
        <w:rPr>
          <w:rFonts w:eastAsia="Times New Roman"/>
        </w:rPr>
        <w:t xml:space="preserve"> με τιμή 17</w:t>
      </w:r>
      <w:r w:rsidR="00F7793E">
        <w:rPr>
          <w:rFonts w:eastAsia="Times New Roman"/>
        </w:rPr>
        <w:t>,2</w:t>
      </w:r>
      <w:r>
        <w:rPr>
          <w:rFonts w:eastAsia="Times New Roman"/>
        </w:rPr>
        <w:t>%</w:t>
      </w:r>
      <w:r w:rsidR="00700A11">
        <w:rPr>
          <w:rFonts w:eastAsia="Times New Roman"/>
        </w:rPr>
        <w:t>.</w:t>
      </w:r>
      <w:r>
        <w:rPr>
          <w:rFonts w:eastAsia="Times New Roman"/>
        </w:rPr>
        <w:t xml:space="preserve"> Στην τελευταία θέση βρίσκεται η Περιφέρεια </w:t>
      </w:r>
      <w:r w:rsidR="00D51B0D">
        <w:rPr>
          <w:rFonts w:eastAsia="Times New Roman"/>
        </w:rPr>
        <w:t>Νοτίου</w:t>
      </w:r>
      <w:r w:rsidR="00DA0729">
        <w:rPr>
          <w:rFonts w:eastAsia="Times New Roman"/>
        </w:rPr>
        <w:t xml:space="preserve"> Αιγαίου με τιμή 7,8</w:t>
      </w:r>
      <w:r>
        <w:rPr>
          <w:rFonts w:eastAsia="Times New Roman"/>
        </w:rPr>
        <w:t>%.</w:t>
      </w:r>
    </w:p>
    <w:tbl>
      <w:tblPr>
        <w:tblW w:w="7736" w:type="dxa"/>
        <w:jc w:val="center"/>
        <w:tblInd w:w="-1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606"/>
        <w:gridCol w:w="2792"/>
        <w:gridCol w:w="1587"/>
        <w:gridCol w:w="763"/>
      </w:tblGrid>
      <w:tr w:rsidR="00DA0729" w:rsidRPr="00DA0729" w:rsidTr="002F515F">
        <w:trPr>
          <w:trHeight w:val="151"/>
          <w:tblHeader/>
          <w:jc w:val="center"/>
        </w:trPr>
        <w:tc>
          <w:tcPr>
            <w:tcW w:w="2606" w:type="dxa"/>
            <w:shd w:val="clear" w:color="auto" w:fill="1F497D"/>
            <w:noWrap/>
            <w:vAlign w:val="center"/>
            <w:hideMark/>
          </w:tcPr>
          <w:p w:rsidR="00DA0729" w:rsidRPr="00DA0729" w:rsidRDefault="00DA0729" w:rsidP="002F515F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iCs/>
                <w:color w:val="FFFFFF"/>
                <w:lang w:eastAsia="el-GR"/>
              </w:rPr>
            </w:pPr>
            <w:r w:rsidRPr="00DA0729">
              <w:rPr>
                <w:rFonts w:eastAsia="Times New Roman" w:cs="Arial"/>
                <w:b/>
                <w:bCs/>
                <w:iCs/>
                <w:color w:val="FFFFFF"/>
                <w:lang w:eastAsia="el-GR"/>
              </w:rPr>
              <w:t>Περιφέρεια</w:t>
            </w:r>
          </w:p>
        </w:tc>
        <w:tc>
          <w:tcPr>
            <w:tcW w:w="2792" w:type="dxa"/>
            <w:shd w:val="clear" w:color="auto" w:fill="1F497D"/>
            <w:noWrap/>
            <w:vAlign w:val="bottom"/>
            <w:hideMark/>
          </w:tcPr>
          <w:p w:rsidR="00DA0729" w:rsidRPr="00DA0729" w:rsidRDefault="00DA0729" w:rsidP="002F515F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color w:val="FFFFFF"/>
                <w:lang w:eastAsia="el-GR"/>
              </w:rPr>
            </w:pPr>
            <w:r w:rsidRPr="00DA0729">
              <w:rPr>
                <w:rFonts w:eastAsia="Times New Roman" w:cs="Arial"/>
                <w:b/>
                <w:color w:val="FFFFFF"/>
                <w:lang w:eastAsia="el-GR"/>
              </w:rPr>
              <w:t>Μηνιαίο Ποσό Συντάξεων (ευρώ)</w:t>
            </w:r>
          </w:p>
        </w:tc>
        <w:tc>
          <w:tcPr>
            <w:tcW w:w="1587" w:type="dxa"/>
            <w:shd w:val="clear" w:color="auto" w:fill="1F497D"/>
            <w:noWrap/>
            <w:vAlign w:val="bottom"/>
            <w:hideMark/>
          </w:tcPr>
          <w:p w:rsidR="00DA0729" w:rsidRPr="00DA0729" w:rsidRDefault="00DA0729" w:rsidP="002F515F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l-GR"/>
              </w:rPr>
            </w:pPr>
            <w:r w:rsidRPr="00DA0729">
              <w:rPr>
                <w:rFonts w:eastAsia="Times New Roman" w:cs="Arial"/>
                <w:b/>
                <w:color w:val="FFFFFF"/>
                <w:lang w:eastAsia="el-GR"/>
              </w:rPr>
              <w:t>ΑΕΠ έτος 2010 (εκ. ευρώ)</w:t>
            </w:r>
          </w:p>
        </w:tc>
        <w:tc>
          <w:tcPr>
            <w:tcW w:w="751" w:type="dxa"/>
            <w:shd w:val="clear" w:color="auto" w:fill="1F497D"/>
            <w:noWrap/>
            <w:vAlign w:val="bottom"/>
            <w:hideMark/>
          </w:tcPr>
          <w:p w:rsidR="00DA0729" w:rsidRPr="00DA0729" w:rsidRDefault="00DA0729" w:rsidP="002F515F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l-GR"/>
              </w:rPr>
            </w:pPr>
            <w:r w:rsidRPr="00DA0729">
              <w:rPr>
                <w:rFonts w:eastAsia="Times New Roman" w:cs="Arial"/>
                <w:b/>
                <w:bCs/>
                <w:color w:val="FFFFFF"/>
                <w:lang w:eastAsia="el-GR"/>
              </w:rPr>
              <w:t>% ΑΕΠ</w:t>
            </w:r>
          </w:p>
        </w:tc>
      </w:tr>
      <w:tr w:rsidR="00D65D32" w:rsidRPr="00DA0729" w:rsidTr="002F515F">
        <w:trPr>
          <w:trHeight w:val="157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Ανατ. Μακεδονία - Θράκη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112.642.405,73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9.053,81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14,9%</w:t>
            </w:r>
          </w:p>
        </w:tc>
      </w:tr>
      <w:tr w:rsidR="00D65D32" w:rsidRPr="00DA0729" w:rsidTr="002F515F">
        <w:trPr>
          <w:trHeight w:val="122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Κεντρική Μακεδονία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367.331.566,83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30.086,11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14,7%</w:t>
            </w:r>
          </w:p>
        </w:tc>
      </w:tr>
      <w:tr w:rsidR="00D65D32" w:rsidRPr="00DA0729" w:rsidTr="002F515F">
        <w:trPr>
          <w:trHeight w:val="75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Δυτική Μακεδονία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58.287.970,57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5.280,60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13,2%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Θεσσαλία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153.645.159,45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10.742,22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17,2%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Ήπειρος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71.975.323,75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4.917,16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17,5%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Ιόνια Νησιά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38.710.900,14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4.028,84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11,5%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Δυτική Ελλάς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130.088.189,12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10.326,40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15,1%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Στερεά Ελλάς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113.124.552,05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10.058,90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13,5%</w:t>
            </w:r>
          </w:p>
        </w:tc>
      </w:tr>
      <w:tr w:rsidR="00D65D32" w:rsidRPr="00DA0729" w:rsidTr="002F515F">
        <w:trPr>
          <w:trHeight w:val="192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Πελοπόννησος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113.329.975,61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9.435,94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14,4%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lang w:eastAsia="el-GR"/>
              </w:rPr>
            </w:pPr>
            <w:r w:rsidRPr="00DA0729">
              <w:rPr>
                <w:rFonts w:eastAsia="Times New Roman" w:cs="Arial"/>
                <w:bCs/>
                <w:lang w:eastAsia="el-GR"/>
              </w:rPr>
              <w:t>Αττική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935.673.283,85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106.635,64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10,5%</w:t>
            </w:r>
          </w:p>
        </w:tc>
      </w:tr>
      <w:tr w:rsidR="00D65D32" w:rsidRPr="00DA0729" w:rsidTr="002F515F">
        <w:trPr>
          <w:trHeight w:val="151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Βόρειο Αιγαίο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41.157.731,69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3.155,01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15,7%</w:t>
            </w:r>
          </w:p>
        </w:tc>
      </w:tr>
      <w:tr w:rsidR="00D65D32" w:rsidRPr="00DA0729" w:rsidTr="002F515F">
        <w:trPr>
          <w:trHeight w:val="69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Νότιο Αιγαίο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48.545.295,71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7.475,41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7,8%</w:t>
            </w:r>
          </w:p>
        </w:tc>
      </w:tr>
      <w:tr w:rsidR="00D65D32" w:rsidRPr="00DA0729" w:rsidTr="002F515F">
        <w:trPr>
          <w:trHeight w:val="108"/>
          <w:jc w:val="center"/>
        </w:trPr>
        <w:tc>
          <w:tcPr>
            <w:tcW w:w="2606" w:type="dxa"/>
            <w:shd w:val="clear" w:color="auto" w:fill="auto"/>
            <w:noWrap/>
            <w:vAlign w:val="center"/>
            <w:hideMark/>
          </w:tcPr>
          <w:p w:rsidR="00D65D32" w:rsidRPr="00DA0729" w:rsidRDefault="00D65D32" w:rsidP="008D60F3">
            <w:pPr>
              <w:spacing w:before="40" w:after="40" w:line="240" w:lineRule="auto"/>
              <w:rPr>
                <w:rFonts w:eastAsia="Times New Roman" w:cs="Arial"/>
                <w:bCs/>
                <w:iCs/>
                <w:lang w:eastAsia="el-GR"/>
              </w:rPr>
            </w:pPr>
            <w:r w:rsidRPr="00DA0729">
              <w:rPr>
                <w:rFonts w:eastAsia="Times New Roman" w:cs="Arial"/>
                <w:bCs/>
                <w:iCs/>
                <w:lang w:eastAsia="el-GR"/>
              </w:rPr>
              <w:t>Κρήτη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hAnsiTheme="minorHAnsi"/>
              </w:rPr>
            </w:pPr>
            <w:r w:rsidRPr="00600ABD">
              <w:rPr>
                <w:rFonts w:asciiTheme="minorHAnsi" w:hAnsiTheme="minorHAnsi"/>
              </w:rPr>
              <w:t>112.595.008,73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10.955,48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5D32" w:rsidRPr="00600ABD" w:rsidRDefault="00D65D32" w:rsidP="008D60F3">
            <w:pPr>
              <w:spacing w:before="40" w:after="40" w:line="240" w:lineRule="auto"/>
              <w:jc w:val="center"/>
              <w:rPr>
                <w:rFonts w:asciiTheme="minorHAnsi" w:eastAsia="Times New Roman" w:hAnsiTheme="minorHAnsi" w:cs="Arial"/>
                <w:bCs/>
                <w:lang w:eastAsia="el-GR"/>
              </w:rPr>
            </w:pPr>
            <w:r w:rsidRPr="00600ABD">
              <w:rPr>
                <w:rFonts w:asciiTheme="minorHAnsi" w:eastAsia="Times New Roman" w:hAnsiTheme="minorHAnsi" w:cs="Arial"/>
                <w:bCs/>
                <w:lang w:eastAsia="el-GR"/>
              </w:rPr>
              <w:t>12,3%</w:t>
            </w:r>
          </w:p>
        </w:tc>
      </w:tr>
    </w:tbl>
    <w:p w:rsidR="00F74270" w:rsidRPr="00EA69B0" w:rsidRDefault="00A733B1" w:rsidP="009272A0">
      <w:pPr>
        <w:spacing w:after="0" w:line="240" w:lineRule="auto"/>
        <w:jc w:val="center"/>
        <w:rPr>
          <w:rFonts w:eastAsia="Times New Roman"/>
          <w:b/>
        </w:rPr>
      </w:pPr>
      <w:r w:rsidRPr="003A4D6C">
        <w:rPr>
          <w:rFonts w:eastAsia="Times New Roman"/>
          <w:b/>
          <w:u w:val="single"/>
        </w:rPr>
        <w:t xml:space="preserve">Πίνακας </w:t>
      </w:r>
      <w:r w:rsidR="00D410CF">
        <w:rPr>
          <w:rFonts w:eastAsia="Times New Roman"/>
          <w:b/>
          <w:u w:val="single"/>
        </w:rPr>
        <w:t>10</w:t>
      </w:r>
      <w:r w:rsidR="00EA69B0" w:rsidRPr="003A4D6C">
        <w:rPr>
          <w:rFonts w:eastAsia="Times New Roman"/>
          <w:b/>
          <w:u w:val="single"/>
        </w:rPr>
        <w:t>:</w:t>
      </w:r>
      <w:r w:rsidR="00EA69B0" w:rsidRPr="00EA69B0">
        <w:rPr>
          <w:rFonts w:eastAsia="Times New Roman"/>
          <w:b/>
        </w:rPr>
        <w:t xml:space="preserve"> </w:t>
      </w:r>
      <w:r w:rsidR="003A33C6" w:rsidRPr="003A33C6">
        <w:rPr>
          <w:rFonts w:eastAsia="Times New Roman"/>
        </w:rPr>
        <w:t>Ποσά Συντάξεων</w:t>
      </w:r>
      <w:r w:rsidR="003A33C6">
        <w:rPr>
          <w:rFonts w:eastAsia="Times New Roman"/>
          <w:b/>
        </w:rPr>
        <w:t xml:space="preserve"> </w:t>
      </w:r>
      <w:r w:rsidR="003A33C6">
        <w:rPr>
          <w:rFonts w:eastAsia="Times New Roman"/>
        </w:rPr>
        <w:t>ανά Περιφέρεια ως</w:t>
      </w:r>
      <w:r w:rsidR="00FE685A" w:rsidRPr="003A4D6C">
        <w:rPr>
          <w:rFonts w:eastAsia="Times New Roman"/>
        </w:rPr>
        <w:t xml:space="preserve"> Ποσοστό του ΑΕΠ</w:t>
      </w:r>
    </w:p>
    <w:p w:rsidR="00E72765" w:rsidRDefault="00E72765">
      <w:pPr>
        <w:spacing w:after="0" w:line="240" w:lineRule="auto"/>
      </w:pPr>
    </w:p>
    <w:p w:rsidR="00E72765" w:rsidRDefault="00E72765">
      <w:pPr>
        <w:spacing w:after="0" w:line="240" w:lineRule="auto"/>
      </w:pPr>
    </w:p>
    <w:p w:rsidR="00E72765" w:rsidRDefault="00E72765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567C06" w:rsidRDefault="00567C06">
      <w:pPr>
        <w:spacing w:after="0" w:line="240" w:lineRule="auto"/>
      </w:pPr>
    </w:p>
    <w:p w:rsidR="00A73C2B" w:rsidRPr="00992E9C" w:rsidRDefault="00A73C2B" w:rsidP="00510A02">
      <w:pPr>
        <w:pStyle w:val="1"/>
        <w:jc w:val="center"/>
      </w:pPr>
      <w:bookmarkStart w:id="18" w:name="_Toc365980347"/>
      <w:r w:rsidRPr="00992E9C">
        <w:t>ΠΑΡΑΡΤΗΜΑ -ΠΙΝΑΚΕΣ</w:t>
      </w:r>
      <w:bookmarkEnd w:id="18"/>
      <w:r w:rsidRPr="00992E9C">
        <w:br w:type="page"/>
      </w:r>
    </w:p>
    <w:p w:rsidR="00567C06" w:rsidRDefault="002A770B" w:rsidP="002A770B">
      <w:pPr>
        <w:pStyle w:val="2"/>
        <w:rPr>
          <w:rFonts w:ascii="Calibri" w:hAnsi="Calibri"/>
          <w:color w:val="1F497D"/>
          <w:sz w:val="24"/>
          <w:szCs w:val="24"/>
        </w:rPr>
      </w:pPr>
      <w:bookmarkStart w:id="19" w:name="_Toc365980348"/>
      <w:r w:rsidRPr="002A770B">
        <w:rPr>
          <w:rFonts w:ascii="Calibri" w:hAnsi="Calibri"/>
          <w:color w:val="1F497D"/>
          <w:sz w:val="24"/>
          <w:szCs w:val="24"/>
        </w:rPr>
        <w:lastRenderedPageBreak/>
        <w:t xml:space="preserve">Α. </w:t>
      </w:r>
      <w:r w:rsidR="00A73C2B" w:rsidRPr="002A770B">
        <w:rPr>
          <w:rFonts w:ascii="Calibri" w:hAnsi="Calibri"/>
          <w:color w:val="1F497D"/>
          <w:sz w:val="24"/>
          <w:szCs w:val="24"/>
        </w:rPr>
        <w:t>Κατανομή συντάξεων ανά ταμείο και κατηγορία</w:t>
      </w:r>
      <w:bookmarkEnd w:id="19"/>
    </w:p>
    <w:tbl>
      <w:tblPr>
        <w:tblW w:w="9498" w:type="dxa"/>
        <w:jc w:val="center"/>
        <w:tblInd w:w="-34" w:type="dxa"/>
        <w:tblLayout w:type="fixed"/>
        <w:tblLook w:val="04A0"/>
      </w:tblPr>
      <w:tblGrid>
        <w:gridCol w:w="709"/>
        <w:gridCol w:w="2268"/>
        <w:gridCol w:w="1418"/>
        <w:gridCol w:w="1276"/>
        <w:gridCol w:w="1275"/>
        <w:gridCol w:w="1418"/>
        <w:gridCol w:w="1134"/>
      </w:tblGrid>
      <w:tr w:rsidR="00567C06" w:rsidRPr="00567C06" w:rsidTr="00FE5C50">
        <w:trPr>
          <w:trHeight w:val="52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Συντομογραφία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Γήρατος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Αναπηρίας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Θανάτου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Άλλη/Χωρίς Ένδειξη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567C06" w:rsidRPr="00567C06" w:rsidRDefault="00567C06" w:rsidP="008D60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Σύνολο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ΔΗΜΟΣΙΟ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318.544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18.657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113.175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450.376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ΙΚΑ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637.592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105.085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254.411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997.088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ΟΑΕΕ-ΤΣΑ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21.791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54.189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ΤΣΕΑΠΓΣΟ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13.373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ΤΣΠΗΣΑΠ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2.076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ΤΑΠΕ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1.589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ΤΣΠΕΤΕ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14.138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ΤΣΠΤΕ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4.971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ΤΣΠΠΑΤΕ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7.745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ΤΑΠΙΛΤ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2.631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ΤΑΠΕΤΒΑ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762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ΤΑΠΟΤΕ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43.844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54.649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ΟΑΕΕ-ΤΕΒΕ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142.783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76.553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245.229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ΟΑΕΕ-ΤΑΕ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50.331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ΤΑΝΠΥ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1.963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ΕΤΑΑ-ΤΑΝΟ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20.952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ΕΤΑΑ-ΤΣΑΥ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22.940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ΕΤΑΑ-ΤΣΜΕΔΕ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22.835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ΕΤΑΠΜΜΕ-ΤΣΠΕΑΘ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2.973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ΕΤΑΠΜΜΕ-ΤΑΙΣΥΤ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699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ΕΤΑΠΜΜΕ-ΤΣΕΥΠ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1.046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ΕΤΑΠΜΜΕ-ΤΣΕΥΠΘ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ΕΤΑΠΜΜΕ-ΤΑΤΤΑ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1.358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ΟΑΠ-ΔΕΗ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8.539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36.546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ΟΓΑ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621.754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99.044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BD64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 xml:space="preserve"> </w:t>
            </w:r>
            <w:r w:rsidRPr="00567C06">
              <w:rPr>
                <w:rFonts w:eastAsia="Times New Roman"/>
                <w:color w:val="000000"/>
                <w:lang w:eastAsia="el-GR"/>
              </w:rPr>
              <w:t>736.705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ΕΤΑΠΜΜΕ-ΦΩΤΟΡΕΠ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ΕΤΑΠΜΜΕ-ΑΝΤΑΠΞΤ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ΤΕΑΔΥ-ΤΑΔΚΥ(Κ)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ΖΑΠΠΕΙΟ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ΟΠΣ-ΙΚΑ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66.804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ΟΓΑ(ΕΠΙΖΩΝΤΩΝ)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10.596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ΟΓΑ ΥΠΑΛΛΗΛΩΝ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569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ΤΕΑ-ΕΑΠΑΕ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5.267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ΕΤΕΑ -  ΤΕΑΥΝΤΠ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5.148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 -ΤΕΑΥΕΚ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28.469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ΕΤΕΑ-ΤΕΑΠΟΖΟ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4.186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ΤΕΑΠ-ΕΥΔΑΠ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3.230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ΤΕΑΥΦΕ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6.040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ΕΤΕΑ-ΤΕΑΧ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2.457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ΤΕΑΔΥ-ΤΕΑΠΟΚΑ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24.551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ΤΑΔΚΥ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25.269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 ΕΡΤΤ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4.446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ΟΑΕΕ-ΤΕΑΑ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3.992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ΕΤΑΑ-ΤΑΣ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1.545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ΤΕΑΔΥ - Κ.Υ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147.656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23.250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172.655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ΤΕΑΠΑΣΑ-ΤΑΥΑΠ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12.523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15.275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ΤΕΑΠΑΣΑ-ΤΑΥΠΣ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6.302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ΤΕΑΠΑΣΑ-ΕΤΕΧ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27.590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36.338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ΕΤΕΑ-ΤΕΑΕΙΓΕ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1.500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Τ.Ε.Α.ΠΕΤ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3.184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Τ.Α.Π.Τ.Π.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2.826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ΕΛΕΜ.ΤΥΠΑΤΕ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7.486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ΕΤΑΑ-ΤΑΝΟ-ΚΕΑΔ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10.625</w:t>
            </w:r>
          </w:p>
        </w:tc>
      </w:tr>
      <w:tr w:rsidR="00567C06" w:rsidRPr="00567C06" w:rsidTr="00FE5C50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ΕΤΕΑΜ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437.706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152.282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653.821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ΚΕΑΝ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38.983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ΤΕΑΠΙΕΝ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525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ΕΤΑΠ-ΤΕΑΤΤΑΘ(Ε)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1.013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ΕΤΑΠ-ΤΑΙΗΕΑΘ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ΕΤΑΤ-ΛΑΚ(ΑΤ)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ΕΤΕΑ-ΤΕΑΠΕΤΒΑ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742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ΕΤΕΑ-ΤΣΕΑΠΣΓΟ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8.923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ΕΤΕΑ-ΤΕΑΠΕΤΕ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5.243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ΕΤΕΑ-ΤΕΑΠ ΔΕΗ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32.561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ΕΤΕΑ-ΤΕΑΠ ΟΤΕ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22.727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25.750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ΕΤΕΑ-ΤΕΑΠΕ ΕΛΤΑ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9.247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ΕΤΑΠΜΜΕ-ΤΕΑΙΣΥΤ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679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ΟΠΣ-ΕΤΕΑΜ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26.381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ΕΤΑΑ-ΤΣΜΕΔΕ(Ε)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ΠΛΟΗΓΗΣΗ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ΟΠΑΔ-ΤΥΔΚΥ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ΟΑΕΕ-ΤΕΑΚΔΠΥΚ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752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ΤΠΔΥ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ΝΑΤ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44.681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22.138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71.110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ΜΤΣ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63.825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ΜΤΝ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14.853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ΜΤΑ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13.324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ΜΤΠΥ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252.474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252.474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ΜΤΣ-ΣΥ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609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ΕΚΟΕΜΝ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14.853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ΕΚΟEΜΣ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23.502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23.502</w:t>
            </w:r>
          </w:p>
        </w:tc>
      </w:tr>
      <w:tr w:rsidR="00567C06" w:rsidRPr="00567C06" w:rsidTr="00FE5C50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8739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3.157.958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346.494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823.899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127.496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06" w:rsidRPr="00567C06" w:rsidRDefault="00567C06" w:rsidP="00567C0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4.455.847</w:t>
            </w:r>
          </w:p>
        </w:tc>
      </w:tr>
    </w:tbl>
    <w:p w:rsidR="00567C06" w:rsidRDefault="00567C06" w:rsidP="002A770B">
      <w:pPr>
        <w:pStyle w:val="2"/>
        <w:rPr>
          <w:rFonts w:ascii="Calibri" w:hAnsi="Calibri"/>
          <w:color w:val="1F497D"/>
          <w:sz w:val="24"/>
          <w:szCs w:val="24"/>
        </w:rPr>
      </w:pPr>
    </w:p>
    <w:p w:rsidR="00A73C2B" w:rsidRPr="00AE21F5" w:rsidRDefault="007D45C9" w:rsidP="00AE21F5">
      <w:pPr>
        <w:pStyle w:val="2"/>
        <w:rPr>
          <w:rFonts w:ascii="Calibri" w:hAnsi="Calibri"/>
          <w:color w:val="1F497D" w:themeColor="text2"/>
          <w:sz w:val="24"/>
          <w:szCs w:val="24"/>
        </w:rPr>
      </w:pPr>
      <w:bookmarkStart w:id="20" w:name="_Toc365980349"/>
      <w:r w:rsidRPr="00AE21F5">
        <w:rPr>
          <w:rFonts w:ascii="Calibri" w:hAnsi="Calibri"/>
          <w:color w:val="1F497D" w:themeColor="text2"/>
          <w:sz w:val="24"/>
          <w:szCs w:val="24"/>
        </w:rPr>
        <w:t xml:space="preserve">Β. </w:t>
      </w:r>
      <w:r w:rsidR="00515AFA" w:rsidRPr="00AE21F5">
        <w:rPr>
          <w:rFonts w:ascii="Calibri" w:hAnsi="Calibri"/>
          <w:color w:val="1F497D" w:themeColor="text2"/>
          <w:sz w:val="24"/>
          <w:szCs w:val="24"/>
        </w:rPr>
        <w:t>Κατανομή συντάξεων ανά νομό</w:t>
      </w:r>
      <w:bookmarkEnd w:id="20"/>
      <w:r w:rsidR="00515AFA" w:rsidRPr="00AE21F5">
        <w:rPr>
          <w:rFonts w:ascii="Calibri" w:hAnsi="Calibri"/>
          <w:color w:val="1F497D" w:themeColor="text2"/>
          <w:sz w:val="24"/>
          <w:szCs w:val="24"/>
        </w:rPr>
        <w:t xml:space="preserve"> </w:t>
      </w:r>
    </w:p>
    <w:p w:rsidR="00567C06" w:rsidRDefault="00567C06" w:rsidP="00275753">
      <w:pPr>
        <w:spacing w:after="0" w:line="240" w:lineRule="auto"/>
        <w:rPr>
          <w:rFonts w:eastAsia="Times New Roman"/>
          <w:lang w:eastAsia="el-GR"/>
        </w:rPr>
      </w:pPr>
    </w:p>
    <w:tbl>
      <w:tblPr>
        <w:tblpPr w:leftFromText="180" w:rightFromText="180" w:vertAnchor="text" w:tblpXSpec="center" w:tblpY="1"/>
        <w:tblOverlap w:val="never"/>
        <w:tblW w:w="77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78"/>
        <w:gridCol w:w="2120"/>
        <w:gridCol w:w="1428"/>
        <w:gridCol w:w="1115"/>
        <w:gridCol w:w="1583"/>
        <w:gridCol w:w="913"/>
      </w:tblGrid>
      <w:tr w:rsidR="00360B5F" w:rsidRPr="00D526EA" w:rsidTr="00796337">
        <w:trPr>
          <w:trHeight w:val="286"/>
          <w:tblHeader/>
        </w:trPr>
        <w:tc>
          <w:tcPr>
            <w:tcW w:w="578" w:type="dxa"/>
            <w:shd w:val="clear" w:color="auto" w:fill="1F497D" w:themeFill="text2"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Α/Α</w:t>
            </w:r>
          </w:p>
        </w:tc>
        <w:tc>
          <w:tcPr>
            <w:tcW w:w="2120" w:type="dxa"/>
            <w:shd w:val="clear" w:color="auto" w:fill="1F497D" w:themeFill="text2"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Νομός</w:t>
            </w:r>
          </w:p>
        </w:tc>
        <w:tc>
          <w:tcPr>
            <w:tcW w:w="1428" w:type="dxa"/>
            <w:shd w:val="clear" w:color="auto" w:fill="1F497D" w:themeFill="text2"/>
            <w:noWrap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Σύνολο</w:t>
            </w:r>
          </w:p>
        </w:tc>
        <w:tc>
          <w:tcPr>
            <w:tcW w:w="1115" w:type="dxa"/>
            <w:shd w:val="clear" w:color="auto" w:fill="1F497D" w:themeFill="text2"/>
            <w:noWrap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Κύριες</w:t>
            </w:r>
          </w:p>
        </w:tc>
        <w:tc>
          <w:tcPr>
            <w:tcW w:w="1583" w:type="dxa"/>
            <w:shd w:val="clear" w:color="auto" w:fill="1F497D" w:themeFill="text2"/>
            <w:noWrap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Επικουρικές</w:t>
            </w:r>
          </w:p>
        </w:tc>
        <w:tc>
          <w:tcPr>
            <w:tcW w:w="913" w:type="dxa"/>
            <w:shd w:val="clear" w:color="auto" w:fill="1F497D" w:themeFill="text2"/>
            <w:noWrap/>
            <w:vAlign w:val="center"/>
            <w:hideMark/>
          </w:tcPr>
          <w:p w:rsidR="00360B5F" w:rsidRPr="00D526EA" w:rsidRDefault="00360B5F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Χωρίς Ένδειξη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ΑΙΤΩΛΟΑΚΑΡΝΑΝΙΑΣ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80.292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59.216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21.042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ΑΡΓΟΛΙΔΑΣ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36.033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26.304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9.683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ΑΡΚΑΔΙΑΣ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35.965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26.142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9.796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ΑΡΤΑΣ 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33.914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24.040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9.850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ΑΤΤΙΚΗΣ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1.710.506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1.009.374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698.174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2.958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ΑΧΑΙΑΣ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124.749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78.435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46.172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142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ΒΟΙΩΤΙΑΣ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43.306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30.062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13.212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ΓΡΕΒΕΝΩΝ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14.140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11.037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3.091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ΔΡΑΜΑΣ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43.427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30.186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13.216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ΔΩΔΕΚΑΝΗΣΟΥ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59.076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38.046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20.930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100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ΕΒΡΟΥ 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58.927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43.226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15.655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ΕΥΒΟΙΑΣ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88.125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57.864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30.187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ΕΥΡΥΤΑΝΙΑΣ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7.285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5.662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1.619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ΖΑΚΥΝΘΟΥ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11.822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8.758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3.050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ΗΛΕΙΑΣ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55.859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41.411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14.417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ΗΜΑΘΙΑΣ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57.022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40.789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16.175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58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ΗΡΑΚΛΕΙΟΥ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106.017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72.573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33.351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93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ΘΕΣΠΡΩΤΙΑΣ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16.181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12.361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3.803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ΘΕΣΣΑΛΟΝΙΚΗΣ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436.486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271.880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164.128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478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ΙΩΑΝΝΙΝΩΝ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72.052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46.748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25.265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ΚΑΒΑΛΑΣ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61.748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41.766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19.909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73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ΚΑΡΔΙΤΣΑΣ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49.756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37.454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12.283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ΚΑΣΤΟΡΙΑΣ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17.314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13.435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3.839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ΚΕΡΚΥΡΑΣ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43.569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29.058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14.451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ΚΕΦΑΛΛΗΝΙΑΣ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14.380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10.495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3.856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ΚΙΛΚΙΣ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30.931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23.620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7.291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ΚΟΖΑΝΗΣ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62.207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41.960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20.182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ΚΟΡΙΝΘΙΑΣ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53.895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38.194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15.641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60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ΚΥΚΛΑΔΩΝ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37.285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25.813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11.416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ΛΑΚΩΝΙΑΣ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33.116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26.372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6.716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28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ΛΑΡΙΣΗΣ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111.591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77.538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33.959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ΛΑΣΙΘΙΟΥ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32.570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22.509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10.015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ΛΕΣΒΟΥ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42.138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30.109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11.973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ΛΕΥΚΑΔΑΣ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9.734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7.103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2.627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ΜΑΓΝΗΣΙΑΣ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87.979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56.430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31.480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ΜΕΣΣΗΝΙΑΣ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66.342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46.809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19.448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ΞΑΝΘΗΣ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35.046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24.202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10.821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23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ΠΕΛΛΗΣ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52.444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40.537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11.862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lastRenderedPageBreak/>
              <w:t>39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ΠΙΕΡΙΑΣ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44.653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32.955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11.663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ΠΡΕΒΕΖΗΣ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27.523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19.648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7.856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ΡΕΘΥΜΝΗΣ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27.990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19.293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8.675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22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ΡΟΔΟΠΗΣ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38.388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29.254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9.109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ΣΑΜΟΥ 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16.770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12.117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4.628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ΣΕΡΡΩΝ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76.899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58.332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18.531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36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ΤΡΙΚΑΛΩΝ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59.387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42.653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16.709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25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ΦΘΙΩΤΙΔΑΣ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68.988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47.798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21.142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48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ΦΛΩΡΙΝΑΣ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18.861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13.816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5.034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ΦΩΚΙΔΑΣ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16.677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11.514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5.152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11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ΧΑΛΚΙΔΙΚΗΣ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34.644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24.732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9.893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ΧΑΝΙΩΝ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57.087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37.072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19.962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53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 xml:space="preserve">ΧΙΟΥ           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21.475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15.032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6.409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34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FF0000"/>
                <w:lang w:eastAsia="el-GR"/>
              </w:rPr>
              <w:t>*</w:t>
            </w:r>
            <w:r w:rsidRPr="00567C06">
              <w:rPr>
                <w:rFonts w:eastAsia="Times New Roman"/>
                <w:color w:val="000000"/>
                <w:lang w:eastAsia="el-GR"/>
              </w:rPr>
              <w:t>52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color w:val="FF0000"/>
                <w:lang w:eastAsia="el-GR"/>
              </w:rPr>
            </w:pPr>
            <w:r w:rsidRPr="00567C06">
              <w:rPr>
                <w:rFonts w:eastAsia="Times New Roman"/>
                <w:color w:val="FF0000"/>
                <w:lang w:eastAsia="el-GR"/>
              </w:rPr>
              <w:t>Χωρίς Τιμές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13.276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5.461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7.811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567C06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D526EA" w:rsidRPr="00567C06" w:rsidTr="00796337">
        <w:trPr>
          <w:trHeight w:val="300"/>
          <w:tblHeader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 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4.455.847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2.897.195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1.553.159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526EA" w:rsidRPr="00567C06" w:rsidRDefault="00D526EA" w:rsidP="00D526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567C06">
              <w:rPr>
                <w:rFonts w:eastAsia="Times New Roman"/>
                <w:b/>
                <w:bCs/>
                <w:color w:val="000000"/>
                <w:lang w:eastAsia="el-GR"/>
              </w:rPr>
              <w:t>5.493</w:t>
            </w:r>
          </w:p>
        </w:tc>
      </w:tr>
    </w:tbl>
    <w:p w:rsidR="007735BD" w:rsidRPr="00A34413" w:rsidRDefault="00D526EA" w:rsidP="00275753">
      <w:pPr>
        <w:spacing w:after="0" w:line="240" w:lineRule="auto"/>
        <w:rPr>
          <w:i/>
          <w:sz w:val="20"/>
          <w:szCs w:val="20"/>
        </w:rPr>
      </w:pPr>
      <w:r>
        <w:rPr>
          <w:rFonts w:eastAsia="Times New Roman"/>
          <w:lang w:eastAsia="el-GR"/>
        </w:rPr>
        <w:br w:type="textWrapping" w:clear="all"/>
      </w:r>
      <w:r w:rsidR="00275753" w:rsidRPr="007735BD">
        <w:rPr>
          <w:rFonts w:eastAsia="Times New Roman"/>
          <w:lang w:eastAsia="el-GR"/>
        </w:rPr>
        <w:t>*</w:t>
      </w:r>
      <w:r w:rsidR="00275753" w:rsidRPr="00275753">
        <w:rPr>
          <w:i/>
          <w:sz w:val="20"/>
          <w:szCs w:val="20"/>
        </w:rPr>
        <w:t>Για τις συντάξεις αυτές δεν ήταν συμπληρωμένο το πεδίο του ταχυδρομικού κώδικα</w:t>
      </w:r>
    </w:p>
    <w:p w:rsidR="00ED18BC" w:rsidRPr="00A34413" w:rsidRDefault="00ED18BC">
      <w:pPr>
        <w:spacing w:after="0" w:line="240" w:lineRule="auto"/>
        <w:rPr>
          <w:i/>
          <w:sz w:val="20"/>
          <w:szCs w:val="20"/>
        </w:rPr>
      </w:pPr>
      <w:r w:rsidRPr="00A34413">
        <w:rPr>
          <w:i/>
          <w:sz w:val="20"/>
          <w:szCs w:val="20"/>
        </w:rPr>
        <w:br w:type="page"/>
      </w:r>
    </w:p>
    <w:p w:rsidR="00ED18BC" w:rsidRDefault="00ED18BC" w:rsidP="009272A0">
      <w:pPr>
        <w:pStyle w:val="2"/>
        <w:spacing w:before="0" w:after="120"/>
        <w:rPr>
          <w:rFonts w:ascii="Calibri" w:hAnsi="Calibri"/>
          <w:color w:val="1F497D"/>
          <w:sz w:val="24"/>
          <w:szCs w:val="24"/>
        </w:rPr>
      </w:pPr>
      <w:bookmarkStart w:id="21" w:name="_Toc365980350"/>
      <w:r>
        <w:rPr>
          <w:rFonts w:ascii="Calibri" w:hAnsi="Calibri"/>
          <w:color w:val="1F497D"/>
          <w:sz w:val="24"/>
          <w:szCs w:val="24"/>
        </w:rPr>
        <w:lastRenderedPageBreak/>
        <w:t>Γ</w:t>
      </w:r>
      <w:r w:rsidRPr="007D45C9">
        <w:rPr>
          <w:rFonts w:ascii="Calibri" w:hAnsi="Calibri"/>
          <w:color w:val="1F497D"/>
          <w:sz w:val="24"/>
          <w:szCs w:val="24"/>
        </w:rPr>
        <w:t xml:space="preserve">. Κατανομή συντάξεων ανά </w:t>
      </w:r>
      <w:r>
        <w:rPr>
          <w:rFonts w:ascii="Calibri" w:hAnsi="Calibri"/>
          <w:color w:val="1F497D"/>
          <w:sz w:val="24"/>
          <w:szCs w:val="24"/>
        </w:rPr>
        <w:t>υπηκοότητα</w:t>
      </w:r>
      <w:bookmarkEnd w:id="21"/>
      <w:r>
        <w:rPr>
          <w:rFonts w:ascii="Calibri" w:hAnsi="Calibri"/>
          <w:color w:val="1F497D"/>
          <w:sz w:val="24"/>
          <w:szCs w:val="24"/>
        </w:rPr>
        <w:t xml:space="preserve"> </w:t>
      </w:r>
      <w:r w:rsidRPr="007D45C9">
        <w:rPr>
          <w:rFonts w:ascii="Calibri" w:hAnsi="Calibri"/>
          <w:color w:val="1F497D"/>
          <w:sz w:val="24"/>
          <w:szCs w:val="24"/>
        </w:rPr>
        <w:t xml:space="preserve"> </w:t>
      </w:r>
    </w:p>
    <w:tbl>
      <w:tblPr>
        <w:tblW w:w="5798" w:type="dxa"/>
        <w:jc w:val="center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78"/>
        <w:gridCol w:w="3320"/>
        <w:gridCol w:w="1900"/>
      </w:tblGrid>
      <w:tr w:rsidR="00360B5F" w:rsidRPr="00360B5F" w:rsidTr="00360B5F">
        <w:trPr>
          <w:trHeight w:val="300"/>
          <w:tblHeader/>
          <w:jc w:val="center"/>
        </w:trPr>
        <w:tc>
          <w:tcPr>
            <w:tcW w:w="578" w:type="dxa"/>
            <w:shd w:val="clear" w:color="auto" w:fill="1F497D" w:themeFill="text2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360B5F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Α/Α</w:t>
            </w:r>
          </w:p>
        </w:tc>
        <w:tc>
          <w:tcPr>
            <w:tcW w:w="3320" w:type="dxa"/>
            <w:shd w:val="clear" w:color="auto" w:fill="1F497D" w:themeFill="text2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360B5F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Υπηκοότητα</w:t>
            </w:r>
          </w:p>
        </w:tc>
        <w:tc>
          <w:tcPr>
            <w:tcW w:w="1900" w:type="dxa"/>
            <w:shd w:val="clear" w:color="auto" w:fill="1F497D" w:themeFill="text2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el-GR"/>
              </w:rPr>
            </w:pPr>
            <w:r w:rsidRPr="00360B5F">
              <w:rPr>
                <w:rFonts w:eastAsia="Times New Roman"/>
                <w:b/>
                <w:bCs/>
                <w:color w:val="FFFFFF" w:themeColor="background1"/>
                <w:lang w:eastAsia="el-GR"/>
              </w:rPr>
              <w:t>Πλήθος Συντάξεων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ΑΖΕΡΜΠΑΙΤΖΑΝ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ΑΙΓΥΠΤΟΣ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200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ΑΙΘΙΟΠΙΑ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ΑΙΤΗ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ΑΛΒΑΝΙΑ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2.477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7075A4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FF0000"/>
                <w:lang w:val="en-US" w:eastAsia="el-GR"/>
              </w:rPr>
              <w:t xml:space="preserve">     </w:t>
            </w:r>
            <w:r w:rsidR="00360B5F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ΑΛΓΕΡΙΑ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ΑΛΛΗ ΧΩΡΑ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ΑΝΔΟΡΑ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ΑΡΑΒΙΚΑ ΕΜΙΡΑΤΑ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ΑΡΓΕΝΤΙΝΗ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ΑΡΜΕΝΙΑ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ΑΥΣΤΡΑΛΙΑ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ΑΥΣΤΡΙΑ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38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ΑΦΓΑΝΙΣΤΑΝ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ΒΕΛΓΙΟ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ΒΙΕΤΝΑΜ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ΒΟΛΙΒΙΑ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ΒΟΣΝΙΑ ΚΑΙ ΕΡΖΕΓΟΒΙΝΗ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ΒΟΥΛΓΑΡΙΑ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1.997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ΒΡΑΖΙΛΙΑ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ΓΑΛΛΙΑ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97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ΓΕΡΜΑΝΙΑ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264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ΓΕΩΡΓΙΑ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166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ΓΙΟΥΓΚΟΣΛΑΒΙΑ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ΓΚΑΜΠΙΑ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ΓΚΑΝΑ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ΓΚΟΥΑΜ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ΔΑΝΙΑ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ΔΟΜΗΝΙΚΑΝΙΚΗ ΔΗΜΟΚΡΑΤΙΑ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7075A4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 xml:space="preserve">  </w:t>
            </w:r>
            <w:r w:rsidR="00360B5F" w:rsidRPr="00360B5F">
              <w:rPr>
                <w:rFonts w:eastAsia="Times New Roman"/>
                <w:color w:val="000000"/>
                <w:lang w:eastAsia="el-GR"/>
              </w:rPr>
              <w:t>3</w:t>
            </w:r>
            <w:r w:rsidR="00360B5F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ΕΛΒΕΤΙΑ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ΕΛΛΑΔΑ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4.446.203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ΕΡΥΘΡΑΙΑ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ΗΝΩΜ.ΒΑΣΙΛΕΙΟ-ΜΕΓ.ΒΡΕΤΤΑΝΙΑ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325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ΗΠΑ 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136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ΙΑΠΩΝΙΑ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ΙΝΔΙΑ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ΙΝΔΟΝΗΣΙΑ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ΙΟΡΔΑΝΙΑ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ΙΡΑΚ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ΙΡΑΝ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lastRenderedPageBreak/>
              <w:t>4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ΙΡΛΑΝΔΙΑ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ΙΣΠΑΝΙΑ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ΙΣΡΑΗΛ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ΙΤΑΛΙΑ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224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ΚΑΖΑΚΧΣΤΑΝ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ΚΑΝΑΔΑΣ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ΚΕΝΥΑ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ΚΟΛΟΜΒΙΑ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ΚΟΝΓΚΟ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ΚΟΡΕΑ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ΚΟΣΤΑ ΡΙΚΑ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ΚΟΥΒΑ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ΚΟΥΒΕΙΤ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ΚΡΟΑΤΙΑ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ΚΥΠΡΟΣ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662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ΛΕΤΟΝΙΑ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ΛΕΥΚΟΡΩΣΙΑ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ΛΙΒΑΝΟΣ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59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ΛΙΒΥΗ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ΛΙΘΟΥΑΝΙΑ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ΛΙΧΤΕΝΣΤΑΙΝ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ΛΟΥΞΕΜΒΟΥΡΓΟ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ΜΑΛΤΑ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ΜΑΡΟΚΟ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ΜΟΛΔΑΒΙΑ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ΜΠΑΝΓΚΛΑΝΤΕΣ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ΜΠΟΥΡΟΥΝΤΙ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ΝΕΑ ΓΟΥΙΝΕΑ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69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ΝΕΑ ΖΗΛΑΝΔΙΑ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ΝΙΓΗΡΙΑ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ΝΙΚΑΡΑΓΟΥΑ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ΝΟΡΒΗΓΙΑ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ΝΟΤΙΟΣ ΑΦΡΙΚΗ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ΟΛΛΑΝΔΙΑ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ΟΥΓΓΑΡΙΑ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ΟΥΓΚΑΝΤΑ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ΟΥΖΜΠΕΚΙΣΤΑΝ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ΟΥΚΡΑΝΙΑ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146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79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ΟΥΡΟΥΓΟΥΑΗ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ΠΑΚΙΣΤΑΝ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ΠΑΝΑΜΑΣ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lastRenderedPageBreak/>
              <w:t>8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ΠΑΡΑΓΟΥΑΗ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ΠΕΡΟΥ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ΠΟΛΩΝΙΑ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180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ΠΟΡΤΟΓΑΛΛΙΑ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ΡΟΥΜΑΝΙΑ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199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ΡΩΣΙΑ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396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ΣΕΡΒΙΑ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89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ΣΕΥΧΕΛΛΕΣ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ΣΙΕΡΑ ΛΕΟΝΕ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ΣΙΝΓΚΑΠΟΥΡΗ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ΣΛΟΒΑΚΙΑ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ΣΛΟΒΕΝΙΑ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ΣΟΥΔΑΝ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ΣΟΥΗΔΙΑ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ΣΡΙ ΛΑΝΚΑ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16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ΣΥΡΙΑ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9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ΤΑΝΖΑΝΙΑ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99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ΤΑΥΛΑΝΔΗ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ΤΟΥΡΚΙΑ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1.100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ΤΣΕΧΙΑ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ΤΥΝΗΣΙΑ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ΦΙΛΙΠΠΙΝΕΣ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73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ΦΙΝΛΑΝΔΙΑ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14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ΦΥΡΟΜ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ΧΙΛΗ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5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10</w:t>
            </w:r>
            <w:r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ΧΟΝΓΚ ΚΟΝΓΚ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3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108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F272E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 xml:space="preserve">PS                       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60B5F">
              <w:rPr>
                <w:rFonts w:eastAsia="Times New Roman"/>
                <w:color w:val="000000"/>
                <w:lang w:eastAsia="el-GR"/>
              </w:rPr>
              <w:t>2</w:t>
            </w:r>
          </w:p>
        </w:tc>
      </w:tr>
      <w:tr w:rsidR="00360B5F" w:rsidRPr="00360B5F" w:rsidTr="00360B5F">
        <w:trPr>
          <w:trHeight w:val="300"/>
          <w:jc w:val="center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7075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360B5F">
            <w:pPr>
              <w:spacing w:after="0" w:line="240" w:lineRule="auto"/>
              <w:rPr>
                <w:rFonts w:eastAsia="Times New Roman"/>
                <w:b/>
                <w:color w:val="000000"/>
                <w:lang w:eastAsia="el-GR"/>
              </w:rPr>
            </w:pPr>
            <w:r w:rsidRPr="00360B5F">
              <w:rPr>
                <w:rFonts w:eastAsia="Times New Roman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60B5F" w:rsidRPr="00360B5F" w:rsidRDefault="00360B5F" w:rsidP="00BD64D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l-GR"/>
              </w:rPr>
            </w:pPr>
            <w:r w:rsidRPr="00360B5F">
              <w:rPr>
                <w:rFonts w:eastAsia="Times New Roman"/>
                <w:b/>
                <w:color w:val="000000"/>
                <w:lang w:eastAsia="el-GR"/>
              </w:rPr>
              <w:t>4.455.847</w:t>
            </w:r>
          </w:p>
        </w:tc>
      </w:tr>
    </w:tbl>
    <w:p w:rsidR="00360B5F" w:rsidRDefault="00360B5F" w:rsidP="00360B5F"/>
    <w:p w:rsidR="00360B5F" w:rsidRDefault="00360B5F" w:rsidP="00360B5F"/>
    <w:p w:rsidR="00360B5F" w:rsidRDefault="00360B5F" w:rsidP="00360B5F"/>
    <w:p w:rsidR="00360B5F" w:rsidRDefault="00360B5F" w:rsidP="00360B5F"/>
    <w:p w:rsidR="00360B5F" w:rsidRDefault="00360B5F" w:rsidP="00360B5F"/>
    <w:p w:rsidR="00360B5F" w:rsidRPr="00360B5F" w:rsidRDefault="00360B5F" w:rsidP="00360B5F"/>
    <w:p w:rsidR="00ED18BC" w:rsidRPr="00ED18BC" w:rsidRDefault="00ED18BC" w:rsidP="00275753">
      <w:pPr>
        <w:spacing w:after="0" w:line="240" w:lineRule="auto"/>
        <w:rPr>
          <w:lang w:val="en-US"/>
        </w:rPr>
      </w:pPr>
    </w:p>
    <w:sectPr w:rsidR="00ED18BC" w:rsidRPr="00ED18BC" w:rsidSect="008D60F3">
      <w:footerReference w:type="default" r:id="rId13"/>
      <w:headerReference w:type="first" r:id="rId14"/>
      <w:footerReference w:type="first" r:id="rId15"/>
      <w:pgSz w:w="11906" w:h="16838"/>
      <w:pgMar w:top="1276" w:right="1800" w:bottom="1440" w:left="1800" w:header="0" w:footer="0" w:gutter="0"/>
      <w:pgBorders w:offsetFrom="page">
        <w:top w:val="single" w:sz="18" w:space="24" w:color="1F497D" w:shadow="1"/>
        <w:left w:val="single" w:sz="18" w:space="24" w:color="1F497D" w:shadow="1"/>
        <w:bottom w:val="single" w:sz="18" w:space="24" w:color="1F497D" w:shadow="1"/>
        <w:right w:val="single" w:sz="18" w:space="24" w:color="1F497D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0F" w:rsidRPr="00947049" w:rsidRDefault="001B7B0F" w:rsidP="008224E3">
      <w:pPr>
        <w:spacing w:after="0" w:line="240" w:lineRule="auto"/>
      </w:pPr>
      <w:r>
        <w:separator/>
      </w:r>
    </w:p>
  </w:endnote>
  <w:endnote w:type="continuationSeparator" w:id="0">
    <w:p w:rsidR="001B7B0F" w:rsidRPr="00947049" w:rsidRDefault="001B7B0F" w:rsidP="008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56" w:rsidRDefault="00043656">
    <w:pPr>
      <w:pStyle w:val="a5"/>
      <w:jc w:val="right"/>
    </w:pPr>
  </w:p>
  <w:tbl>
    <w:tblPr>
      <w:tblW w:w="10288" w:type="dxa"/>
      <w:tblInd w:w="-1097" w:type="dxa"/>
      <w:tblBorders>
        <w:insideH w:val="single" w:sz="4" w:space="0" w:color="auto"/>
      </w:tblBorders>
      <w:tblLook w:val="04A0"/>
    </w:tblPr>
    <w:tblGrid>
      <w:gridCol w:w="9835"/>
      <w:gridCol w:w="453"/>
    </w:tblGrid>
    <w:tr w:rsidR="00043656" w:rsidRPr="00F20CF6" w:rsidTr="00625D66">
      <w:trPr>
        <w:trHeight w:val="302"/>
      </w:trPr>
      <w:tc>
        <w:tcPr>
          <w:tcW w:w="9835" w:type="dxa"/>
          <w:tcBorders>
            <w:top w:val="single" w:sz="8" w:space="0" w:color="1F497D"/>
            <w:bottom w:val="nil"/>
          </w:tcBorders>
        </w:tcPr>
        <w:p w:rsidR="00043656" w:rsidRDefault="00043656" w:rsidP="00085E3E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color w:val="A6A6A6"/>
              <w:sz w:val="16"/>
              <w:szCs w:val="16"/>
            </w:rPr>
          </w:pPr>
          <w:r>
            <w:rPr>
              <w:rFonts w:ascii="Century Gothic" w:hAnsi="Century Gothic" w:cs="Arial"/>
              <w:b/>
              <w:noProof/>
              <w:color w:val="A6A6A6"/>
              <w:sz w:val="16"/>
              <w:szCs w:val="16"/>
              <w:lang w:eastAsia="el-GR"/>
            </w:rPr>
            <w:drawing>
              <wp:inline distT="0" distB="0" distL="0" distR="0">
                <wp:extent cx="1266825" cy="371475"/>
                <wp:effectExtent l="19050" t="0" r="9525" b="0"/>
                <wp:docPr id="3" name="3 - Εικόνα" descr="revised_LOGO_rgb_high_res cop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revised_LOGO_rgb_high_res cop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43656" w:rsidRPr="008224E3" w:rsidRDefault="00043656" w:rsidP="00DB2F9E">
          <w:pPr>
            <w:pStyle w:val="a5"/>
            <w:tabs>
              <w:tab w:val="left" w:pos="6180"/>
            </w:tabs>
            <w:spacing w:after="0" w:line="240" w:lineRule="auto"/>
            <w:jc w:val="center"/>
            <w:rPr>
              <w:rFonts w:ascii="Century Gothic" w:hAnsi="Century Gothic" w:cs="Arial"/>
              <w:b/>
              <w:bCs/>
              <w:color w:val="A6A6A6"/>
              <w:sz w:val="16"/>
              <w:szCs w:val="16"/>
            </w:rPr>
          </w:pP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</w:rPr>
            <w:t xml:space="preserve">Λαγουμιτζή  40,   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en-US"/>
            </w:rPr>
            <w:t>A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</w:rPr>
            <w:t>θήνα 117 45</w:t>
          </w:r>
        </w:p>
        <w:p w:rsidR="00043656" w:rsidRPr="001E2334" w:rsidRDefault="00043656" w:rsidP="00DB2F9E">
          <w:pPr>
            <w:pStyle w:val="a5"/>
            <w:spacing w:after="0" w:line="240" w:lineRule="auto"/>
            <w:jc w:val="center"/>
            <w:rPr>
              <w:b/>
              <w:color w:val="A6A6A6"/>
              <w:sz w:val="16"/>
              <w:szCs w:val="16"/>
            </w:rPr>
          </w:pP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sv-SE"/>
            </w:rPr>
            <w:t>www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fr-FR"/>
            </w:rPr>
            <w:t>.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sv-SE"/>
            </w:rPr>
            <w:t>idika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fr-FR"/>
            </w:rPr>
            <w:t>.</w:t>
          </w:r>
          <w:r w:rsidRPr="008224E3"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sv-SE"/>
            </w:rPr>
            <w:t>gr</w:t>
          </w:r>
        </w:p>
        <w:p w:rsidR="00043656" w:rsidRPr="00F20CF6" w:rsidRDefault="00043656" w:rsidP="00DB2F9E">
          <w:pPr>
            <w:pStyle w:val="a5"/>
            <w:tabs>
              <w:tab w:val="left" w:pos="3210"/>
            </w:tabs>
            <w:spacing w:after="0" w:line="240" w:lineRule="auto"/>
            <w:jc w:val="center"/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fr-FR"/>
            </w:rPr>
          </w:pPr>
        </w:p>
      </w:tc>
      <w:tc>
        <w:tcPr>
          <w:tcW w:w="453" w:type="dxa"/>
          <w:tcBorders>
            <w:top w:val="single" w:sz="2" w:space="0" w:color="1F497D"/>
            <w:bottom w:val="nil"/>
          </w:tcBorders>
        </w:tcPr>
        <w:p w:rsidR="00043656" w:rsidRPr="00625D66" w:rsidRDefault="00AE2FCC" w:rsidP="00DB2F9E">
          <w:pPr>
            <w:pStyle w:val="a5"/>
            <w:spacing w:after="0" w:line="240" w:lineRule="auto"/>
            <w:rPr>
              <w:rFonts w:ascii="Century Gothic" w:hAnsi="Century Gothic" w:cs="Arial"/>
              <w:b/>
              <w:bCs/>
              <w:color w:val="A6A6A6"/>
              <w:sz w:val="20"/>
              <w:szCs w:val="20"/>
              <w:lang w:val="en-US"/>
            </w:rPr>
          </w:pPr>
          <w:r w:rsidRPr="00625D66">
            <w:rPr>
              <w:rFonts w:ascii="Century Gothic" w:hAnsi="Century Gothic" w:cs="Arial"/>
              <w:b/>
              <w:bCs/>
              <w:color w:val="A6A6A6"/>
              <w:sz w:val="20"/>
              <w:szCs w:val="20"/>
              <w:lang w:val="en-US"/>
            </w:rPr>
            <w:fldChar w:fldCharType="begin"/>
          </w:r>
          <w:r w:rsidR="00043656" w:rsidRPr="00625D66">
            <w:rPr>
              <w:rFonts w:ascii="Century Gothic" w:hAnsi="Century Gothic" w:cs="Arial"/>
              <w:b/>
              <w:bCs/>
              <w:color w:val="A6A6A6"/>
              <w:sz w:val="20"/>
              <w:szCs w:val="20"/>
              <w:lang w:val="en-US"/>
            </w:rPr>
            <w:instrText xml:space="preserve"> PAGE   \* MERGEFORMAT </w:instrText>
          </w:r>
          <w:r w:rsidRPr="00625D66">
            <w:rPr>
              <w:rFonts w:ascii="Century Gothic" w:hAnsi="Century Gothic" w:cs="Arial"/>
              <w:b/>
              <w:bCs/>
              <w:color w:val="A6A6A6"/>
              <w:sz w:val="20"/>
              <w:szCs w:val="20"/>
              <w:lang w:val="en-US"/>
            </w:rPr>
            <w:fldChar w:fldCharType="separate"/>
          </w:r>
          <w:r w:rsidR="00F975AC">
            <w:rPr>
              <w:rFonts w:ascii="Century Gothic" w:hAnsi="Century Gothic" w:cs="Arial"/>
              <w:b/>
              <w:bCs/>
              <w:noProof/>
              <w:color w:val="A6A6A6"/>
              <w:sz w:val="20"/>
              <w:szCs w:val="20"/>
              <w:lang w:val="en-US"/>
            </w:rPr>
            <w:t>20</w:t>
          </w:r>
          <w:r w:rsidRPr="00625D66">
            <w:rPr>
              <w:rFonts w:ascii="Century Gothic" w:hAnsi="Century Gothic" w:cs="Arial"/>
              <w:b/>
              <w:bCs/>
              <w:color w:val="A6A6A6"/>
              <w:sz w:val="20"/>
              <w:szCs w:val="20"/>
              <w:lang w:val="en-US"/>
            </w:rPr>
            <w:fldChar w:fldCharType="end"/>
          </w:r>
        </w:p>
      </w:tc>
    </w:tr>
  </w:tbl>
  <w:p w:rsidR="00043656" w:rsidRPr="008224E3" w:rsidRDefault="00043656" w:rsidP="00625D66">
    <w:pPr>
      <w:pStyle w:val="a5"/>
      <w:jc w:val="right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9" w:type="dxa"/>
      <w:tblInd w:w="-1097" w:type="dxa"/>
      <w:tblBorders>
        <w:insideH w:val="single" w:sz="4" w:space="0" w:color="auto"/>
      </w:tblBorders>
      <w:tblLook w:val="04A0"/>
    </w:tblPr>
    <w:tblGrid>
      <w:gridCol w:w="10065"/>
      <w:gridCol w:w="464"/>
    </w:tblGrid>
    <w:tr w:rsidR="00043656" w:rsidRPr="00F20CF6" w:rsidTr="008E5EBB">
      <w:trPr>
        <w:trHeight w:val="1168"/>
      </w:trPr>
      <w:tc>
        <w:tcPr>
          <w:tcW w:w="10065" w:type="dxa"/>
          <w:tcBorders>
            <w:top w:val="single" w:sz="8" w:space="0" w:color="1F497D"/>
            <w:bottom w:val="nil"/>
          </w:tcBorders>
        </w:tcPr>
        <w:p w:rsidR="00043656" w:rsidRDefault="00043656" w:rsidP="00DB2F9E">
          <w:pPr>
            <w:spacing w:after="0" w:line="240" w:lineRule="auto"/>
            <w:jc w:val="center"/>
          </w:pPr>
        </w:p>
        <w:p w:rsidR="00043656" w:rsidRPr="008224E3" w:rsidRDefault="00043656" w:rsidP="00DB2F9E">
          <w:pPr>
            <w:spacing w:after="0" w:line="240" w:lineRule="auto"/>
            <w:jc w:val="center"/>
          </w:pPr>
          <w:r>
            <w:rPr>
              <w:rFonts w:ascii="Century Gothic" w:hAnsi="Century Gothic" w:cs="Arial"/>
              <w:b/>
              <w:noProof/>
              <w:color w:val="A6A6A6"/>
              <w:sz w:val="16"/>
              <w:szCs w:val="16"/>
              <w:lang w:eastAsia="el-GR"/>
            </w:rPr>
            <w:drawing>
              <wp:inline distT="0" distB="0" distL="0" distR="0">
                <wp:extent cx="1266825" cy="371475"/>
                <wp:effectExtent l="19050" t="0" r="9525" b="0"/>
                <wp:docPr id="4" name="3 - Εικόνα" descr="revised_LOGO_rgb_high_res cop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revised_LOGO_rgb_high_res cop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43656" w:rsidRPr="00F20CF6" w:rsidRDefault="00043656" w:rsidP="008E5EBB">
          <w:pPr>
            <w:pStyle w:val="a5"/>
            <w:spacing w:after="0" w:line="240" w:lineRule="auto"/>
            <w:jc w:val="center"/>
            <w:rPr>
              <w:rFonts w:ascii="Century Gothic" w:hAnsi="Century Gothic" w:cs="Arial"/>
              <w:b/>
              <w:bCs/>
              <w:color w:val="A6A6A6"/>
              <w:sz w:val="16"/>
              <w:szCs w:val="16"/>
              <w:lang w:val="fr-FR"/>
            </w:rPr>
          </w:pPr>
        </w:p>
      </w:tc>
      <w:tc>
        <w:tcPr>
          <w:tcW w:w="464" w:type="dxa"/>
          <w:tcBorders>
            <w:top w:val="single" w:sz="2" w:space="0" w:color="1F497D"/>
            <w:bottom w:val="nil"/>
          </w:tcBorders>
        </w:tcPr>
        <w:p w:rsidR="00043656" w:rsidRPr="00F20CF6" w:rsidRDefault="00043656" w:rsidP="00DB2F9E">
          <w:pPr>
            <w:pStyle w:val="a5"/>
            <w:spacing w:after="0" w:line="240" w:lineRule="auto"/>
            <w:rPr>
              <w:rFonts w:ascii="Century Gothic" w:hAnsi="Century Gothic" w:cs="Arial"/>
              <w:b/>
              <w:bCs/>
              <w:color w:val="A6A6A6"/>
              <w:sz w:val="16"/>
              <w:szCs w:val="16"/>
            </w:rPr>
          </w:pPr>
        </w:p>
      </w:tc>
    </w:tr>
  </w:tbl>
  <w:p w:rsidR="00043656" w:rsidRDefault="000436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0F" w:rsidRPr="00947049" w:rsidRDefault="001B7B0F" w:rsidP="008224E3">
      <w:pPr>
        <w:spacing w:after="0" w:line="240" w:lineRule="auto"/>
      </w:pPr>
      <w:r>
        <w:separator/>
      </w:r>
    </w:p>
  </w:footnote>
  <w:footnote w:type="continuationSeparator" w:id="0">
    <w:p w:rsidR="001B7B0F" w:rsidRPr="00947049" w:rsidRDefault="001B7B0F" w:rsidP="008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56" w:rsidRDefault="00043656">
    <w:pPr>
      <w:pStyle w:val="a4"/>
    </w:pPr>
  </w:p>
  <w:tbl>
    <w:tblPr>
      <w:tblW w:w="9498" w:type="dxa"/>
      <w:tblInd w:w="-587" w:type="dxa"/>
      <w:tblLook w:val="04A0"/>
    </w:tblPr>
    <w:tblGrid>
      <w:gridCol w:w="9498"/>
    </w:tblGrid>
    <w:tr w:rsidR="00043656" w:rsidTr="00D0221C">
      <w:trPr>
        <w:trHeight w:val="993"/>
      </w:trPr>
      <w:tc>
        <w:tcPr>
          <w:tcW w:w="9498" w:type="dxa"/>
        </w:tcPr>
        <w:p w:rsidR="00043656" w:rsidRDefault="00043656" w:rsidP="00D0221C">
          <w:pPr>
            <w:pStyle w:val="Default"/>
            <w:tabs>
              <w:tab w:val="left" w:pos="3360"/>
            </w:tabs>
            <w:jc w:val="center"/>
          </w:pPr>
        </w:p>
        <w:p w:rsidR="00043656" w:rsidRDefault="00043656" w:rsidP="00D0221C">
          <w:pPr>
            <w:pStyle w:val="Default"/>
            <w:tabs>
              <w:tab w:val="left" w:pos="3360"/>
            </w:tabs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762000" cy="714375"/>
                <wp:effectExtent l="0" t="0" r="0" b="0"/>
                <wp:docPr id="2" name="Εικόνα 1" descr="C:\Documents and Settings\ds\Local Settings\Temporary Internet files\Content.Outlook\L1ZNFPOJ\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ds\Local Settings\Temporary Internet files\Content.Outlook\L1ZNFPOJ\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3656" w:rsidTr="00D0221C">
      <w:trPr>
        <w:trHeight w:val="993"/>
      </w:trPr>
      <w:tc>
        <w:tcPr>
          <w:tcW w:w="9498" w:type="dxa"/>
        </w:tcPr>
        <w:p w:rsidR="00043656" w:rsidRPr="00D0221C" w:rsidRDefault="00043656" w:rsidP="00D0221C">
          <w:pPr>
            <w:pStyle w:val="Default"/>
            <w:tabs>
              <w:tab w:val="left" w:pos="3360"/>
            </w:tabs>
            <w:jc w:val="center"/>
            <w:rPr>
              <w:rFonts w:ascii="Calibri" w:hAnsi="Calibri"/>
              <w:b/>
              <w:color w:val="1F497D"/>
              <w:sz w:val="36"/>
            </w:rPr>
          </w:pPr>
          <w:r w:rsidRPr="00D0221C">
            <w:rPr>
              <w:rFonts w:ascii="Calibri" w:hAnsi="Calibri"/>
              <w:b/>
              <w:color w:val="1F497D"/>
              <w:sz w:val="36"/>
            </w:rPr>
            <w:t>Υπουργείο Εργασίας, Κοινωνικής Ασφάλισης &amp; Πρόνοιας</w:t>
          </w:r>
        </w:p>
        <w:p w:rsidR="00043656" w:rsidRPr="00D0221C" w:rsidRDefault="00043656" w:rsidP="00D0221C">
          <w:pPr>
            <w:pStyle w:val="Default"/>
            <w:tabs>
              <w:tab w:val="left" w:pos="3360"/>
            </w:tabs>
            <w:jc w:val="center"/>
            <w:rPr>
              <w:rFonts w:ascii="Calibri" w:hAnsi="Calibri"/>
              <w:b/>
              <w:color w:val="1F497D"/>
              <w:sz w:val="36"/>
            </w:rPr>
          </w:pPr>
        </w:p>
      </w:tc>
    </w:tr>
  </w:tbl>
  <w:p w:rsidR="00043656" w:rsidRDefault="00043656" w:rsidP="00C21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71D"/>
    <w:multiLevelType w:val="hybridMultilevel"/>
    <w:tmpl w:val="367A6222"/>
    <w:lvl w:ilvl="0" w:tplc="30BE3E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A0A1F"/>
    <w:multiLevelType w:val="hybridMultilevel"/>
    <w:tmpl w:val="DF24E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6749"/>
    <w:multiLevelType w:val="hybridMultilevel"/>
    <w:tmpl w:val="3E6C0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945883"/>
    <w:multiLevelType w:val="hybridMultilevel"/>
    <w:tmpl w:val="167E61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F39BD"/>
    <w:multiLevelType w:val="hybridMultilevel"/>
    <w:tmpl w:val="A9AA9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66f,aqu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24E3"/>
    <w:rsid w:val="00001159"/>
    <w:rsid w:val="00004A92"/>
    <w:rsid w:val="00010C6C"/>
    <w:rsid w:val="00011863"/>
    <w:rsid w:val="00017D82"/>
    <w:rsid w:val="00020C7B"/>
    <w:rsid w:val="00025435"/>
    <w:rsid w:val="000262E3"/>
    <w:rsid w:val="00041411"/>
    <w:rsid w:val="00043656"/>
    <w:rsid w:val="000439B2"/>
    <w:rsid w:val="00043A34"/>
    <w:rsid w:val="00050A37"/>
    <w:rsid w:val="00052AC6"/>
    <w:rsid w:val="00056334"/>
    <w:rsid w:val="000564E6"/>
    <w:rsid w:val="000567D0"/>
    <w:rsid w:val="00057683"/>
    <w:rsid w:val="0006125B"/>
    <w:rsid w:val="000615BB"/>
    <w:rsid w:val="00061987"/>
    <w:rsid w:val="00064FFF"/>
    <w:rsid w:val="00082132"/>
    <w:rsid w:val="00084B60"/>
    <w:rsid w:val="00085E3E"/>
    <w:rsid w:val="000A27E7"/>
    <w:rsid w:val="000A2CD2"/>
    <w:rsid w:val="000A75D6"/>
    <w:rsid w:val="000B29B1"/>
    <w:rsid w:val="000B4498"/>
    <w:rsid w:val="000B6B02"/>
    <w:rsid w:val="000C07CF"/>
    <w:rsid w:val="000C192A"/>
    <w:rsid w:val="000C2D51"/>
    <w:rsid w:val="000C6E7F"/>
    <w:rsid w:val="000D0195"/>
    <w:rsid w:val="000D32D2"/>
    <w:rsid w:val="000D3F18"/>
    <w:rsid w:val="000D66E4"/>
    <w:rsid w:val="000E017B"/>
    <w:rsid w:val="000E2D1F"/>
    <w:rsid w:val="000F3BDE"/>
    <w:rsid w:val="000F6FA3"/>
    <w:rsid w:val="0010051C"/>
    <w:rsid w:val="00111E69"/>
    <w:rsid w:val="00112F91"/>
    <w:rsid w:val="00114BBD"/>
    <w:rsid w:val="00116F4B"/>
    <w:rsid w:val="001202D6"/>
    <w:rsid w:val="00123957"/>
    <w:rsid w:val="00126C9C"/>
    <w:rsid w:val="001319C8"/>
    <w:rsid w:val="001342D1"/>
    <w:rsid w:val="00136633"/>
    <w:rsid w:val="00140950"/>
    <w:rsid w:val="00145851"/>
    <w:rsid w:val="0014781F"/>
    <w:rsid w:val="00151D9A"/>
    <w:rsid w:val="001556A6"/>
    <w:rsid w:val="00162B06"/>
    <w:rsid w:val="00164BAE"/>
    <w:rsid w:val="00166059"/>
    <w:rsid w:val="001660AA"/>
    <w:rsid w:val="001707E7"/>
    <w:rsid w:val="001747D7"/>
    <w:rsid w:val="001760BC"/>
    <w:rsid w:val="00176BAD"/>
    <w:rsid w:val="00197111"/>
    <w:rsid w:val="001A1DA0"/>
    <w:rsid w:val="001A6262"/>
    <w:rsid w:val="001A6D95"/>
    <w:rsid w:val="001B0686"/>
    <w:rsid w:val="001B1D17"/>
    <w:rsid w:val="001B77FA"/>
    <w:rsid w:val="001B7B0F"/>
    <w:rsid w:val="001C3D92"/>
    <w:rsid w:val="001C41A1"/>
    <w:rsid w:val="001C41E1"/>
    <w:rsid w:val="001C7682"/>
    <w:rsid w:val="001D6B38"/>
    <w:rsid w:val="001E1AED"/>
    <w:rsid w:val="001E2180"/>
    <w:rsid w:val="001E2334"/>
    <w:rsid w:val="001E49CB"/>
    <w:rsid w:val="001E558D"/>
    <w:rsid w:val="001E6269"/>
    <w:rsid w:val="001F0428"/>
    <w:rsid w:val="001F1646"/>
    <w:rsid w:val="001F676E"/>
    <w:rsid w:val="00200A51"/>
    <w:rsid w:val="002075A1"/>
    <w:rsid w:val="00210094"/>
    <w:rsid w:val="00211133"/>
    <w:rsid w:val="00223C1F"/>
    <w:rsid w:val="00225366"/>
    <w:rsid w:val="00225F79"/>
    <w:rsid w:val="0022781B"/>
    <w:rsid w:val="002306F0"/>
    <w:rsid w:val="00235C6B"/>
    <w:rsid w:val="00240E00"/>
    <w:rsid w:val="0024154F"/>
    <w:rsid w:val="00244530"/>
    <w:rsid w:val="002548A6"/>
    <w:rsid w:val="0025734A"/>
    <w:rsid w:val="002612D6"/>
    <w:rsid w:val="00263A53"/>
    <w:rsid w:val="00263E68"/>
    <w:rsid w:val="00270497"/>
    <w:rsid w:val="00270FFE"/>
    <w:rsid w:val="00271B3B"/>
    <w:rsid w:val="00275753"/>
    <w:rsid w:val="00276511"/>
    <w:rsid w:val="00280977"/>
    <w:rsid w:val="00281179"/>
    <w:rsid w:val="00284ADD"/>
    <w:rsid w:val="00284C36"/>
    <w:rsid w:val="0028611E"/>
    <w:rsid w:val="002865C8"/>
    <w:rsid w:val="00291E9B"/>
    <w:rsid w:val="002A2297"/>
    <w:rsid w:val="002A638A"/>
    <w:rsid w:val="002A770B"/>
    <w:rsid w:val="002B14C3"/>
    <w:rsid w:val="002C009E"/>
    <w:rsid w:val="002C427E"/>
    <w:rsid w:val="002C7276"/>
    <w:rsid w:val="002D6822"/>
    <w:rsid w:val="002E0791"/>
    <w:rsid w:val="002E17B3"/>
    <w:rsid w:val="002E58A7"/>
    <w:rsid w:val="002E7C85"/>
    <w:rsid w:val="002F03E4"/>
    <w:rsid w:val="002F0DBC"/>
    <w:rsid w:val="002F117F"/>
    <w:rsid w:val="002F515F"/>
    <w:rsid w:val="002F7E51"/>
    <w:rsid w:val="00302649"/>
    <w:rsid w:val="00303850"/>
    <w:rsid w:val="00304F40"/>
    <w:rsid w:val="00304FEB"/>
    <w:rsid w:val="00306F88"/>
    <w:rsid w:val="00310674"/>
    <w:rsid w:val="0031162A"/>
    <w:rsid w:val="00311ED7"/>
    <w:rsid w:val="00317C1A"/>
    <w:rsid w:val="0032205D"/>
    <w:rsid w:val="0032219E"/>
    <w:rsid w:val="00322A47"/>
    <w:rsid w:val="003248CE"/>
    <w:rsid w:val="00325C04"/>
    <w:rsid w:val="003308D8"/>
    <w:rsid w:val="003346D9"/>
    <w:rsid w:val="00335AAA"/>
    <w:rsid w:val="003435E5"/>
    <w:rsid w:val="00343D3C"/>
    <w:rsid w:val="003441A7"/>
    <w:rsid w:val="0034513F"/>
    <w:rsid w:val="00353080"/>
    <w:rsid w:val="003556D0"/>
    <w:rsid w:val="00360B5F"/>
    <w:rsid w:val="0036355F"/>
    <w:rsid w:val="0036632A"/>
    <w:rsid w:val="00367042"/>
    <w:rsid w:val="003703B5"/>
    <w:rsid w:val="0037166C"/>
    <w:rsid w:val="00372CBF"/>
    <w:rsid w:val="0037561F"/>
    <w:rsid w:val="00375BDC"/>
    <w:rsid w:val="00376490"/>
    <w:rsid w:val="00382716"/>
    <w:rsid w:val="00382B07"/>
    <w:rsid w:val="003846C8"/>
    <w:rsid w:val="00390536"/>
    <w:rsid w:val="0039189B"/>
    <w:rsid w:val="003926CE"/>
    <w:rsid w:val="003A33C6"/>
    <w:rsid w:val="003A4D6C"/>
    <w:rsid w:val="003A7324"/>
    <w:rsid w:val="003B23C8"/>
    <w:rsid w:val="003B2494"/>
    <w:rsid w:val="003B272E"/>
    <w:rsid w:val="003B4023"/>
    <w:rsid w:val="003D6D92"/>
    <w:rsid w:val="003D7533"/>
    <w:rsid w:val="003E23E5"/>
    <w:rsid w:val="003E267A"/>
    <w:rsid w:val="003E42F8"/>
    <w:rsid w:val="003F22A9"/>
    <w:rsid w:val="003F270C"/>
    <w:rsid w:val="003F37CF"/>
    <w:rsid w:val="003F518A"/>
    <w:rsid w:val="003F7112"/>
    <w:rsid w:val="003F7B35"/>
    <w:rsid w:val="0040327A"/>
    <w:rsid w:val="0040547D"/>
    <w:rsid w:val="004075D0"/>
    <w:rsid w:val="00411928"/>
    <w:rsid w:val="00414A5E"/>
    <w:rsid w:val="0041668C"/>
    <w:rsid w:val="00420252"/>
    <w:rsid w:val="00421455"/>
    <w:rsid w:val="00425D51"/>
    <w:rsid w:val="0042649D"/>
    <w:rsid w:val="00434161"/>
    <w:rsid w:val="00441244"/>
    <w:rsid w:val="00441F6A"/>
    <w:rsid w:val="00442305"/>
    <w:rsid w:val="0044403B"/>
    <w:rsid w:val="00455D41"/>
    <w:rsid w:val="0046420F"/>
    <w:rsid w:val="00465AF6"/>
    <w:rsid w:val="00471C46"/>
    <w:rsid w:val="00473DC5"/>
    <w:rsid w:val="00474A7C"/>
    <w:rsid w:val="00486834"/>
    <w:rsid w:val="004903B6"/>
    <w:rsid w:val="004913C2"/>
    <w:rsid w:val="004968B4"/>
    <w:rsid w:val="004A171E"/>
    <w:rsid w:val="004A348D"/>
    <w:rsid w:val="004A3A72"/>
    <w:rsid w:val="004A567C"/>
    <w:rsid w:val="004A6881"/>
    <w:rsid w:val="004B0349"/>
    <w:rsid w:val="004B087F"/>
    <w:rsid w:val="004B35C0"/>
    <w:rsid w:val="004B38B5"/>
    <w:rsid w:val="004B3F44"/>
    <w:rsid w:val="004B45AC"/>
    <w:rsid w:val="004B6A46"/>
    <w:rsid w:val="004B6D3C"/>
    <w:rsid w:val="004C0F49"/>
    <w:rsid w:val="004C2E7C"/>
    <w:rsid w:val="004C3305"/>
    <w:rsid w:val="004C3728"/>
    <w:rsid w:val="004C49A7"/>
    <w:rsid w:val="004C58DD"/>
    <w:rsid w:val="004C5C56"/>
    <w:rsid w:val="004D1CAF"/>
    <w:rsid w:val="004D50D3"/>
    <w:rsid w:val="004D5AF8"/>
    <w:rsid w:val="004E0064"/>
    <w:rsid w:val="004E1A8B"/>
    <w:rsid w:val="004E6B23"/>
    <w:rsid w:val="004F0669"/>
    <w:rsid w:val="004F0F55"/>
    <w:rsid w:val="004F2DFB"/>
    <w:rsid w:val="00500227"/>
    <w:rsid w:val="005012E1"/>
    <w:rsid w:val="00501FF2"/>
    <w:rsid w:val="00502EB3"/>
    <w:rsid w:val="005044EA"/>
    <w:rsid w:val="00505EB8"/>
    <w:rsid w:val="00510A02"/>
    <w:rsid w:val="00510E62"/>
    <w:rsid w:val="00512F18"/>
    <w:rsid w:val="00515AFA"/>
    <w:rsid w:val="00517F24"/>
    <w:rsid w:val="0052442C"/>
    <w:rsid w:val="0055046A"/>
    <w:rsid w:val="00551A60"/>
    <w:rsid w:val="00556861"/>
    <w:rsid w:val="00561341"/>
    <w:rsid w:val="005615FF"/>
    <w:rsid w:val="00562122"/>
    <w:rsid w:val="00564C47"/>
    <w:rsid w:val="00566B6B"/>
    <w:rsid w:val="00566B79"/>
    <w:rsid w:val="00567C06"/>
    <w:rsid w:val="00582BC8"/>
    <w:rsid w:val="00587197"/>
    <w:rsid w:val="00590A6F"/>
    <w:rsid w:val="00592BD2"/>
    <w:rsid w:val="00593E23"/>
    <w:rsid w:val="005942E2"/>
    <w:rsid w:val="0059592C"/>
    <w:rsid w:val="00595BF6"/>
    <w:rsid w:val="005A07BF"/>
    <w:rsid w:val="005A0FB5"/>
    <w:rsid w:val="005A2EB3"/>
    <w:rsid w:val="005A2FB7"/>
    <w:rsid w:val="005A596F"/>
    <w:rsid w:val="005B0FAB"/>
    <w:rsid w:val="005B21D8"/>
    <w:rsid w:val="005B3A93"/>
    <w:rsid w:val="005B478A"/>
    <w:rsid w:val="005B588D"/>
    <w:rsid w:val="005B6888"/>
    <w:rsid w:val="005C08DE"/>
    <w:rsid w:val="005C1E62"/>
    <w:rsid w:val="005C2053"/>
    <w:rsid w:val="005C5129"/>
    <w:rsid w:val="005C70BA"/>
    <w:rsid w:val="005D2C39"/>
    <w:rsid w:val="005D5C54"/>
    <w:rsid w:val="005E0732"/>
    <w:rsid w:val="005E3B98"/>
    <w:rsid w:val="005E5F8B"/>
    <w:rsid w:val="005E6526"/>
    <w:rsid w:val="005E6B81"/>
    <w:rsid w:val="005E7206"/>
    <w:rsid w:val="005F3C27"/>
    <w:rsid w:val="005F469B"/>
    <w:rsid w:val="00600ABD"/>
    <w:rsid w:val="0060762B"/>
    <w:rsid w:val="00615327"/>
    <w:rsid w:val="00623605"/>
    <w:rsid w:val="00625D66"/>
    <w:rsid w:val="00626D85"/>
    <w:rsid w:val="0062728B"/>
    <w:rsid w:val="006276E0"/>
    <w:rsid w:val="006320BB"/>
    <w:rsid w:val="00634878"/>
    <w:rsid w:val="00635C4C"/>
    <w:rsid w:val="006448A8"/>
    <w:rsid w:val="00645E57"/>
    <w:rsid w:val="00650906"/>
    <w:rsid w:val="00651B64"/>
    <w:rsid w:val="00652A31"/>
    <w:rsid w:val="00662B23"/>
    <w:rsid w:val="0066604B"/>
    <w:rsid w:val="00666E21"/>
    <w:rsid w:val="00667325"/>
    <w:rsid w:val="006707C5"/>
    <w:rsid w:val="00670923"/>
    <w:rsid w:val="00673394"/>
    <w:rsid w:val="006810B2"/>
    <w:rsid w:val="006827F3"/>
    <w:rsid w:val="00682AF2"/>
    <w:rsid w:val="006837E9"/>
    <w:rsid w:val="0068677A"/>
    <w:rsid w:val="006868CA"/>
    <w:rsid w:val="00687108"/>
    <w:rsid w:val="006920CB"/>
    <w:rsid w:val="006A0188"/>
    <w:rsid w:val="006A268F"/>
    <w:rsid w:val="006A2767"/>
    <w:rsid w:val="006A3133"/>
    <w:rsid w:val="006A325B"/>
    <w:rsid w:val="006A6263"/>
    <w:rsid w:val="006A7982"/>
    <w:rsid w:val="006B0643"/>
    <w:rsid w:val="006B390F"/>
    <w:rsid w:val="006B39C0"/>
    <w:rsid w:val="006B74E8"/>
    <w:rsid w:val="006C2B38"/>
    <w:rsid w:val="006D3D42"/>
    <w:rsid w:val="006D49F0"/>
    <w:rsid w:val="006D66BC"/>
    <w:rsid w:val="006E3158"/>
    <w:rsid w:val="006E3FD1"/>
    <w:rsid w:val="006E4334"/>
    <w:rsid w:val="006E4BD4"/>
    <w:rsid w:val="006E4F89"/>
    <w:rsid w:val="006E54EE"/>
    <w:rsid w:val="006E7B7E"/>
    <w:rsid w:val="006F5628"/>
    <w:rsid w:val="006F690D"/>
    <w:rsid w:val="00700A11"/>
    <w:rsid w:val="00701C69"/>
    <w:rsid w:val="00702870"/>
    <w:rsid w:val="00702C96"/>
    <w:rsid w:val="007075A4"/>
    <w:rsid w:val="00713A96"/>
    <w:rsid w:val="007228F9"/>
    <w:rsid w:val="00723D47"/>
    <w:rsid w:val="0072420B"/>
    <w:rsid w:val="007256CA"/>
    <w:rsid w:val="007375E3"/>
    <w:rsid w:val="00740E81"/>
    <w:rsid w:val="007419EE"/>
    <w:rsid w:val="00742F20"/>
    <w:rsid w:val="00746FF5"/>
    <w:rsid w:val="00747DE6"/>
    <w:rsid w:val="0075117E"/>
    <w:rsid w:val="00757A70"/>
    <w:rsid w:val="007602B1"/>
    <w:rsid w:val="0076525B"/>
    <w:rsid w:val="00765CA0"/>
    <w:rsid w:val="007667DD"/>
    <w:rsid w:val="00771FC9"/>
    <w:rsid w:val="007735BD"/>
    <w:rsid w:val="007747AF"/>
    <w:rsid w:val="007756FF"/>
    <w:rsid w:val="0078524E"/>
    <w:rsid w:val="00791262"/>
    <w:rsid w:val="00793822"/>
    <w:rsid w:val="00794EE5"/>
    <w:rsid w:val="00796337"/>
    <w:rsid w:val="00796876"/>
    <w:rsid w:val="007A2C90"/>
    <w:rsid w:val="007A4E92"/>
    <w:rsid w:val="007A6CF9"/>
    <w:rsid w:val="007A7128"/>
    <w:rsid w:val="007B012F"/>
    <w:rsid w:val="007B0EA3"/>
    <w:rsid w:val="007B1E1E"/>
    <w:rsid w:val="007B539F"/>
    <w:rsid w:val="007B5C21"/>
    <w:rsid w:val="007C0E24"/>
    <w:rsid w:val="007C11AE"/>
    <w:rsid w:val="007C2A0C"/>
    <w:rsid w:val="007C36D2"/>
    <w:rsid w:val="007C5F2F"/>
    <w:rsid w:val="007C66E9"/>
    <w:rsid w:val="007C6E78"/>
    <w:rsid w:val="007D45C9"/>
    <w:rsid w:val="007D4C87"/>
    <w:rsid w:val="007E0015"/>
    <w:rsid w:val="007E0F72"/>
    <w:rsid w:val="007E10F1"/>
    <w:rsid w:val="007E219C"/>
    <w:rsid w:val="007F2137"/>
    <w:rsid w:val="007F4438"/>
    <w:rsid w:val="007F4F43"/>
    <w:rsid w:val="00803134"/>
    <w:rsid w:val="00810B50"/>
    <w:rsid w:val="00811C57"/>
    <w:rsid w:val="008224E3"/>
    <w:rsid w:val="008345B5"/>
    <w:rsid w:val="00836AD3"/>
    <w:rsid w:val="008450E9"/>
    <w:rsid w:val="00845330"/>
    <w:rsid w:val="00846CBD"/>
    <w:rsid w:val="0085177C"/>
    <w:rsid w:val="00852DB1"/>
    <w:rsid w:val="00854BE9"/>
    <w:rsid w:val="00861B70"/>
    <w:rsid w:val="008637CB"/>
    <w:rsid w:val="0086502E"/>
    <w:rsid w:val="00865436"/>
    <w:rsid w:val="0086612C"/>
    <w:rsid w:val="00867235"/>
    <w:rsid w:val="008719D9"/>
    <w:rsid w:val="00873925"/>
    <w:rsid w:val="008751BD"/>
    <w:rsid w:val="0088029F"/>
    <w:rsid w:val="00881666"/>
    <w:rsid w:val="0088199A"/>
    <w:rsid w:val="008856C4"/>
    <w:rsid w:val="00886875"/>
    <w:rsid w:val="0088723C"/>
    <w:rsid w:val="00887B1C"/>
    <w:rsid w:val="0089451E"/>
    <w:rsid w:val="008A0E27"/>
    <w:rsid w:val="008A1AE1"/>
    <w:rsid w:val="008A458F"/>
    <w:rsid w:val="008A78B5"/>
    <w:rsid w:val="008A7DB9"/>
    <w:rsid w:val="008B01ED"/>
    <w:rsid w:val="008B2C32"/>
    <w:rsid w:val="008C3B24"/>
    <w:rsid w:val="008C41D4"/>
    <w:rsid w:val="008C58F6"/>
    <w:rsid w:val="008C6933"/>
    <w:rsid w:val="008C7A76"/>
    <w:rsid w:val="008D00F2"/>
    <w:rsid w:val="008D0916"/>
    <w:rsid w:val="008D0961"/>
    <w:rsid w:val="008D60F3"/>
    <w:rsid w:val="008D635B"/>
    <w:rsid w:val="008E0045"/>
    <w:rsid w:val="008E04D1"/>
    <w:rsid w:val="008E5EBB"/>
    <w:rsid w:val="009000C6"/>
    <w:rsid w:val="00900DF1"/>
    <w:rsid w:val="00902535"/>
    <w:rsid w:val="009038E2"/>
    <w:rsid w:val="009041CA"/>
    <w:rsid w:val="00906CAB"/>
    <w:rsid w:val="00907017"/>
    <w:rsid w:val="0091422D"/>
    <w:rsid w:val="00915851"/>
    <w:rsid w:val="009165EF"/>
    <w:rsid w:val="009242A2"/>
    <w:rsid w:val="009272A0"/>
    <w:rsid w:val="009274F2"/>
    <w:rsid w:val="0092752D"/>
    <w:rsid w:val="00927BAA"/>
    <w:rsid w:val="00933937"/>
    <w:rsid w:val="0093641E"/>
    <w:rsid w:val="0094247C"/>
    <w:rsid w:val="00944CF4"/>
    <w:rsid w:val="00947C8F"/>
    <w:rsid w:val="00951BAA"/>
    <w:rsid w:val="00952708"/>
    <w:rsid w:val="00964867"/>
    <w:rsid w:val="00967E3E"/>
    <w:rsid w:val="009724C6"/>
    <w:rsid w:val="009753D2"/>
    <w:rsid w:val="0097541D"/>
    <w:rsid w:val="0097681F"/>
    <w:rsid w:val="00980DED"/>
    <w:rsid w:val="0098176B"/>
    <w:rsid w:val="00985496"/>
    <w:rsid w:val="00991989"/>
    <w:rsid w:val="00992CA7"/>
    <w:rsid w:val="00992E9C"/>
    <w:rsid w:val="00995E80"/>
    <w:rsid w:val="00997AC5"/>
    <w:rsid w:val="009A0C35"/>
    <w:rsid w:val="009A4084"/>
    <w:rsid w:val="009B1594"/>
    <w:rsid w:val="009B6707"/>
    <w:rsid w:val="009B790E"/>
    <w:rsid w:val="009C331B"/>
    <w:rsid w:val="009D1964"/>
    <w:rsid w:val="009D3D57"/>
    <w:rsid w:val="009D4AC6"/>
    <w:rsid w:val="009D50FA"/>
    <w:rsid w:val="009D649F"/>
    <w:rsid w:val="009D67B4"/>
    <w:rsid w:val="009E442E"/>
    <w:rsid w:val="009E476F"/>
    <w:rsid w:val="009E6EE5"/>
    <w:rsid w:val="009F24A9"/>
    <w:rsid w:val="009F2DD4"/>
    <w:rsid w:val="009F46EF"/>
    <w:rsid w:val="009F5290"/>
    <w:rsid w:val="00A03A44"/>
    <w:rsid w:val="00A04C2C"/>
    <w:rsid w:val="00A059F9"/>
    <w:rsid w:val="00A13610"/>
    <w:rsid w:val="00A153AF"/>
    <w:rsid w:val="00A17048"/>
    <w:rsid w:val="00A17DDA"/>
    <w:rsid w:val="00A269C4"/>
    <w:rsid w:val="00A27358"/>
    <w:rsid w:val="00A307B1"/>
    <w:rsid w:val="00A30EB7"/>
    <w:rsid w:val="00A32896"/>
    <w:rsid w:val="00A34413"/>
    <w:rsid w:val="00A35D14"/>
    <w:rsid w:val="00A36F3E"/>
    <w:rsid w:val="00A379F8"/>
    <w:rsid w:val="00A40C12"/>
    <w:rsid w:val="00A477E0"/>
    <w:rsid w:val="00A53A93"/>
    <w:rsid w:val="00A54E31"/>
    <w:rsid w:val="00A57AFF"/>
    <w:rsid w:val="00A60DB3"/>
    <w:rsid w:val="00A61CED"/>
    <w:rsid w:val="00A623A1"/>
    <w:rsid w:val="00A628D9"/>
    <w:rsid w:val="00A722BC"/>
    <w:rsid w:val="00A733B1"/>
    <w:rsid w:val="00A73C2B"/>
    <w:rsid w:val="00A7636F"/>
    <w:rsid w:val="00A77F3E"/>
    <w:rsid w:val="00A81129"/>
    <w:rsid w:val="00A8573E"/>
    <w:rsid w:val="00A85A57"/>
    <w:rsid w:val="00A87733"/>
    <w:rsid w:val="00A909F3"/>
    <w:rsid w:val="00A92F4F"/>
    <w:rsid w:val="00A94BFF"/>
    <w:rsid w:val="00A957CE"/>
    <w:rsid w:val="00AA1164"/>
    <w:rsid w:val="00AA4FF2"/>
    <w:rsid w:val="00AA7902"/>
    <w:rsid w:val="00AB3F43"/>
    <w:rsid w:val="00AB62AE"/>
    <w:rsid w:val="00AC1097"/>
    <w:rsid w:val="00AC140A"/>
    <w:rsid w:val="00AC7611"/>
    <w:rsid w:val="00AC79CA"/>
    <w:rsid w:val="00AD1DC0"/>
    <w:rsid w:val="00AD23A4"/>
    <w:rsid w:val="00AD3295"/>
    <w:rsid w:val="00AD4579"/>
    <w:rsid w:val="00AD540D"/>
    <w:rsid w:val="00AD6B77"/>
    <w:rsid w:val="00AE21F5"/>
    <w:rsid w:val="00AE2FCC"/>
    <w:rsid w:val="00AF021B"/>
    <w:rsid w:val="00AF0F44"/>
    <w:rsid w:val="00AF547A"/>
    <w:rsid w:val="00AF5E9C"/>
    <w:rsid w:val="00AF7368"/>
    <w:rsid w:val="00B018CC"/>
    <w:rsid w:val="00B05A98"/>
    <w:rsid w:val="00B06911"/>
    <w:rsid w:val="00B1039F"/>
    <w:rsid w:val="00B104E5"/>
    <w:rsid w:val="00B164BD"/>
    <w:rsid w:val="00B228F9"/>
    <w:rsid w:val="00B25885"/>
    <w:rsid w:val="00B27C57"/>
    <w:rsid w:val="00B27D5F"/>
    <w:rsid w:val="00B3478C"/>
    <w:rsid w:val="00B36E7C"/>
    <w:rsid w:val="00B378C8"/>
    <w:rsid w:val="00B43A4F"/>
    <w:rsid w:val="00B443B3"/>
    <w:rsid w:val="00B472D9"/>
    <w:rsid w:val="00B4748C"/>
    <w:rsid w:val="00B532FC"/>
    <w:rsid w:val="00B534DE"/>
    <w:rsid w:val="00B6143A"/>
    <w:rsid w:val="00B61CE9"/>
    <w:rsid w:val="00B72324"/>
    <w:rsid w:val="00B8200F"/>
    <w:rsid w:val="00B86F3F"/>
    <w:rsid w:val="00B946F1"/>
    <w:rsid w:val="00BA20C2"/>
    <w:rsid w:val="00BA24DD"/>
    <w:rsid w:val="00BA592E"/>
    <w:rsid w:val="00BA5D1B"/>
    <w:rsid w:val="00BB0D61"/>
    <w:rsid w:val="00BB28CF"/>
    <w:rsid w:val="00BB2B60"/>
    <w:rsid w:val="00BB2F13"/>
    <w:rsid w:val="00BB4FDE"/>
    <w:rsid w:val="00BC1526"/>
    <w:rsid w:val="00BC1C19"/>
    <w:rsid w:val="00BC6167"/>
    <w:rsid w:val="00BC75BE"/>
    <w:rsid w:val="00BD1603"/>
    <w:rsid w:val="00BD1856"/>
    <w:rsid w:val="00BD28E3"/>
    <w:rsid w:val="00BD57AA"/>
    <w:rsid w:val="00BD64DE"/>
    <w:rsid w:val="00BE0EBB"/>
    <w:rsid w:val="00BE7772"/>
    <w:rsid w:val="00BF1A92"/>
    <w:rsid w:val="00BF30B1"/>
    <w:rsid w:val="00BF6920"/>
    <w:rsid w:val="00BF6EDF"/>
    <w:rsid w:val="00C034C5"/>
    <w:rsid w:val="00C04E3D"/>
    <w:rsid w:val="00C14ACE"/>
    <w:rsid w:val="00C16220"/>
    <w:rsid w:val="00C17D5A"/>
    <w:rsid w:val="00C218A7"/>
    <w:rsid w:val="00C230F2"/>
    <w:rsid w:val="00C2683A"/>
    <w:rsid w:val="00C27D9F"/>
    <w:rsid w:val="00C30772"/>
    <w:rsid w:val="00C30A90"/>
    <w:rsid w:val="00C352F2"/>
    <w:rsid w:val="00C37570"/>
    <w:rsid w:val="00C4336F"/>
    <w:rsid w:val="00C4565F"/>
    <w:rsid w:val="00C463DD"/>
    <w:rsid w:val="00C472C2"/>
    <w:rsid w:val="00C5499B"/>
    <w:rsid w:val="00C61DFE"/>
    <w:rsid w:val="00C62E70"/>
    <w:rsid w:val="00C70982"/>
    <w:rsid w:val="00C71F4C"/>
    <w:rsid w:val="00C72EA7"/>
    <w:rsid w:val="00C82EAB"/>
    <w:rsid w:val="00C84CF8"/>
    <w:rsid w:val="00C90303"/>
    <w:rsid w:val="00C93D98"/>
    <w:rsid w:val="00C94C0D"/>
    <w:rsid w:val="00C95C5A"/>
    <w:rsid w:val="00C97108"/>
    <w:rsid w:val="00CA0E24"/>
    <w:rsid w:val="00CA2658"/>
    <w:rsid w:val="00CA329F"/>
    <w:rsid w:val="00CA3AAC"/>
    <w:rsid w:val="00CA6418"/>
    <w:rsid w:val="00CA6796"/>
    <w:rsid w:val="00CA6E64"/>
    <w:rsid w:val="00CC3968"/>
    <w:rsid w:val="00CC3D55"/>
    <w:rsid w:val="00CC6C1A"/>
    <w:rsid w:val="00CD0B52"/>
    <w:rsid w:val="00CD0CAE"/>
    <w:rsid w:val="00CD22E0"/>
    <w:rsid w:val="00CD3A45"/>
    <w:rsid w:val="00CD3FC8"/>
    <w:rsid w:val="00CD7D14"/>
    <w:rsid w:val="00CE5428"/>
    <w:rsid w:val="00CE668D"/>
    <w:rsid w:val="00CE6727"/>
    <w:rsid w:val="00CF0057"/>
    <w:rsid w:val="00CF159A"/>
    <w:rsid w:val="00CF2403"/>
    <w:rsid w:val="00CF42F8"/>
    <w:rsid w:val="00CF45DF"/>
    <w:rsid w:val="00D00AEC"/>
    <w:rsid w:val="00D0221C"/>
    <w:rsid w:val="00D029ED"/>
    <w:rsid w:val="00D02F1C"/>
    <w:rsid w:val="00D04396"/>
    <w:rsid w:val="00D0764F"/>
    <w:rsid w:val="00D14A5D"/>
    <w:rsid w:val="00D14ED5"/>
    <w:rsid w:val="00D17057"/>
    <w:rsid w:val="00D17C2B"/>
    <w:rsid w:val="00D23C0E"/>
    <w:rsid w:val="00D24575"/>
    <w:rsid w:val="00D272C5"/>
    <w:rsid w:val="00D34CBD"/>
    <w:rsid w:val="00D410CF"/>
    <w:rsid w:val="00D4681F"/>
    <w:rsid w:val="00D51B0D"/>
    <w:rsid w:val="00D526EA"/>
    <w:rsid w:val="00D60E77"/>
    <w:rsid w:val="00D629A0"/>
    <w:rsid w:val="00D65D32"/>
    <w:rsid w:val="00D7164F"/>
    <w:rsid w:val="00D771A6"/>
    <w:rsid w:val="00D77AD5"/>
    <w:rsid w:val="00D77FB2"/>
    <w:rsid w:val="00D80FFA"/>
    <w:rsid w:val="00D84219"/>
    <w:rsid w:val="00D936FE"/>
    <w:rsid w:val="00D93EE4"/>
    <w:rsid w:val="00D96BB0"/>
    <w:rsid w:val="00DA0729"/>
    <w:rsid w:val="00DA1E1F"/>
    <w:rsid w:val="00DA5714"/>
    <w:rsid w:val="00DA6ECC"/>
    <w:rsid w:val="00DA7191"/>
    <w:rsid w:val="00DB1815"/>
    <w:rsid w:val="00DB2EF8"/>
    <w:rsid w:val="00DB2F9E"/>
    <w:rsid w:val="00DB35FC"/>
    <w:rsid w:val="00DB3EEA"/>
    <w:rsid w:val="00DB403F"/>
    <w:rsid w:val="00DB6441"/>
    <w:rsid w:val="00DB6739"/>
    <w:rsid w:val="00DC396F"/>
    <w:rsid w:val="00DD34BA"/>
    <w:rsid w:val="00DD44BC"/>
    <w:rsid w:val="00DD5E10"/>
    <w:rsid w:val="00DD62E2"/>
    <w:rsid w:val="00DD6670"/>
    <w:rsid w:val="00DD6D91"/>
    <w:rsid w:val="00DD74FC"/>
    <w:rsid w:val="00DE0DA4"/>
    <w:rsid w:val="00DE327B"/>
    <w:rsid w:val="00DF7484"/>
    <w:rsid w:val="00E00BA1"/>
    <w:rsid w:val="00E015CA"/>
    <w:rsid w:val="00E05554"/>
    <w:rsid w:val="00E05FC6"/>
    <w:rsid w:val="00E0759F"/>
    <w:rsid w:val="00E07B30"/>
    <w:rsid w:val="00E12315"/>
    <w:rsid w:val="00E13C9F"/>
    <w:rsid w:val="00E312E5"/>
    <w:rsid w:val="00E406EE"/>
    <w:rsid w:val="00E42BAE"/>
    <w:rsid w:val="00E4659B"/>
    <w:rsid w:val="00E515B7"/>
    <w:rsid w:val="00E51D8E"/>
    <w:rsid w:val="00E614A7"/>
    <w:rsid w:val="00E66A0F"/>
    <w:rsid w:val="00E72765"/>
    <w:rsid w:val="00E74A53"/>
    <w:rsid w:val="00E76E47"/>
    <w:rsid w:val="00E80513"/>
    <w:rsid w:val="00E84E9A"/>
    <w:rsid w:val="00E8559B"/>
    <w:rsid w:val="00EA001B"/>
    <w:rsid w:val="00EA1B52"/>
    <w:rsid w:val="00EA36C8"/>
    <w:rsid w:val="00EA69B0"/>
    <w:rsid w:val="00EB0C49"/>
    <w:rsid w:val="00EB4F83"/>
    <w:rsid w:val="00EC0AD9"/>
    <w:rsid w:val="00EC10DD"/>
    <w:rsid w:val="00EC16E9"/>
    <w:rsid w:val="00EC32DB"/>
    <w:rsid w:val="00EC5544"/>
    <w:rsid w:val="00EC5EDE"/>
    <w:rsid w:val="00EC70AB"/>
    <w:rsid w:val="00ED0154"/>
    <w:rsid w:val="00ED18BC"/>
    <w:rsid w:val="00ED3506"/>
    <w:rsid w:val="00ED509E"/>
    <w:rsid w:val="00ED5CC3"/>
    <w:rsid w:val="00EE23FA"/>
    <w:rsid w:val="00EE4687"/>
    <w:rsid w:val="00EF39D3"/>
    <w:rsid w:val="00EF4E76"/>
    <w:rsid w:val="00EF7BA1"/>
    <w:rsid w:val="00F00121"/>
    <w:rsid w:val="00F008DC"/>
    <w:rsid w:val="00F03FA8"/>
    <w:rsid w:val="00F105E8"/>
    <w:rsid w:val="00F200C5"/>
    <w:rsid w:val="00F20CF6"/>
    <w:rsid w:val="00F25158"/>
    <w:rsid w:val="00F272E8"/>
    <w:rsid w:val="00F277BF"/>
    <w:rsid w:val="00F311F0"/>
    <w:rsid w:val="00F36512"/>
    <w:rsid w:val="00F41DAF"/>
    <w:rsid w:val="00F43929"/>
    <w:rsid w:val="00F52E4D"/>
    <w:rsid w:val="00F54784"/>
    <w:rsid w:val="00F57E3D"/>
    <w:rsid w:val="00F6019D"/>
    <w:rsid w:val="00F617AA"/>
    <w:rsid w:val="00F65601"/>
    <w:rsid w:val="00F67C21"/>
    <w:rsid w:val="00F70DF1"/>
    <w:rsid w:val="00F74270"/>
    <w:rsid w:val="00F75056"/>
    <w:rsid w:val="00F7793E"/>
    <w:rsid w:val="00F80D08"/>
    <w:rsid w:val="00F822AF"/>
    <w:rsid w:val="00F82849"/>
    <w:rsid w:val="00F840BC"/>
    <w:rsid w:val="00F85961"/>
    <w:rsid w:val="00F868B4"/>
    <w:rsid w:val="00F975AC"/>
    <w:rsid w:val="00F97C02"/>
    <w:rsid w:val="00FA1364"/>
    <w:rsid w:val="00FB0E1D"/>
    <w:rsid w:val="00FB26EA"/>
    <w:rsid w:val="00FB354E"/>
    <w:rsid w:val="00FB4925"/>
    <w:rsid w:val="00FB4F4F"/>
    <w:rsid w:val="00FB6E35"/>
    <w:rsid w:val="00FB7A63"/>
    <w:rsid w:val="00FC054C"/>
    <w:rsid w:val="00FC0A04"/>
    <w:rsid w:val="00FC2CA5"/>
    <w:rsid w:val="00FC33AA"/>
    <w:rsid w:val="00FC3675"/>
    <w:rsid w:val="00FD11C0"/>
    <w:rsid w:val="00FD66ED"/>
    <w:rsid w:val="00FD69B8"/>
    <w:rsid w:val="00FD6E50"/>
    <w:rsid w:val="00FD7601"/>
    <w:rsid w:val="00FE5C50"/>
    <w:rsid w:val="00FE685A"/>
    <w:rsid w:val="00FF0035"/>
    <w:rsid w:val="00FF47F6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6f,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eastAsia="Times New Roman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="Calibri" w:eastAsia="Times New Roman" w:hAnsi="Calibri" w:cs="Times New Roman"/>
      <w:sz w:val="22"/>
      <w:szCs w:val="22"/>
      <w:lang w:val="el-GR" w:eastAsia="en-US" w:bidi="ar-SA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683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4">
    <w:name w:val="xl64"/>
    <w:basedOn w:val="a"/>
    <w:rsid w:val="006837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B4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koutrouli\&#932;&#945;%20&#941;&#947;&#947;&#961;&#945;&#966;&#940;%20&#956;&#959;&#965;\&#919;&#923;&#921;&#927;&#931;\REPORT\FINAL%20REPORT%20SEPTEMBER\Statistika_DS_201309_20130826o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koutrouli\&#932;&#945;%20&#941;&#947;&#947;&#961;&#945;&#966;&#940;%20&#956;&#959;&#965;\&#919;&#923;&#921;&#927;&#931;\REPORT\FINAL%20REPORT%20SEPTEMBER\&#922;&#945;&#964;&#945;&#957;&#959;&#956;&#942;%20&#931;&#965;&#957;&#964;&#945;&#958;&#953;&#959;&#973;&#967;&#969;&#957;%20&#945;&#957;&#940;%20&#919;&#955;&#953;&#954;&#943;&#945;%208&#959;&#965;-9&#959;&#96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outrouli\&#932;&#945;%20&#941;&#947;&#947;&#961;&#945;&#966;&#940;%20&#956;&#959;&#965;\&#919;&#923;&#921;&#927;&#931;\REPORT\FINAL%20REPORT%20SEPTEMBER\Statistika_DS_201309_20130826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5285611699687773E-2"/>
          <c:y val="6.2366200764697101E-2"/>
          <c:w val="0.93471436187663592"/>
          <c:h val="0.69744126274873297"/>
        </c:manualLayout>
      </c:layout>
      <c:pie3DChart>
        <c:varyColors val="1"/>
        <c:ser>
          <c:idx val="0"/>
          <c:order val="0"/>
          <c:tx>
            <c:strRef>
              <c:f>Φύλλο2!$B$3</c:f>
              <c:strCache>
                <c:ptCount val="1"/>
                <c:pt idx="0">
                  <c:v>Πλήθος</c:v>
                </c:pt>
              </c:strCache>
            </c:strRef>
          </c:tx>
          <c:explosion val="45"/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tx2"/>
              </a:solidFill>
            </c:spPr>
          </c:dPt>
          <c:dLbls>
            <c:dLbl>
              <c:idx val="0"/>
              <c:layout>
                <c:manualLayout>
                  <c:x val="5.3054487237982124E-2"/>
                  <c:y val="-0.19736007661204522"/>
                </c:manualLayout>
              </c:layout>
              <c:showPercent val="1"/>
            </c:dLbl>
            <c:dLbl>
              <c:idx val="1"/>
              <c:layout>
                <c:manualLayout>
                  <c:x val="4.696374435060692E-3"/>
                  <c:y val="-3.8245726041001692E-3"/>
                </c:manualLayout>
              </c:layout>
              <c:showPercent val="1"/>
            </c:dLbl>
            <c:dLbl>
              <c:idx val="2"/>
              <c:layout>
                <c:manualLayout>
                  <c:x val="-1.3994095428504549E-2"/>
                  <c:y val="-6.8477959026452826E-3"/>
                </c:manualLayout>
              </c:layout>
              <c:showPercent val="1"/>
            </c:dLbl>
            <c:dLbl>
              <c:idx val="3"/>
              <c:layout>
                <c:manualLayout>
                  <c:x val="-8.7054072778234735E-4"/>
                  <c:y val="-2.626141015649509E-2"/>
                </c:manualLayout>
              </c:layout>
              <c:showPercent val="1"/>
            </c:dLbl>
            <c:dLbl>
              <c:idx val="4"/>
              <c:layout>
                <c:manualLayout>
                  <c:x val="3.8061590707061811E-2"/>
                  <c:y val="1.8066342389795181E-3"/>
                </c:manualLayout>
              </c:layout>
              <c:showPercent val="1"/>
            </c:dLbl>
            <c:txPr>
              <a:bodyPr/>
              <a:lstStyle/>
              <a:p>
                <a:pPr>
                  <a:defRPr b="1"/>
                </a:pPr>
                <a:endParaRPr lang="el-GR"/>
              </a:p>
            </c:txPr>
            <c:showPercent val="1"/>
            <c:showLeaderLines val="1"/>
          </c:dLbls>
          <c:cat>
            <c:strRef>
              <c:f>Φύλλο2!$A$4:$A$8</c:f>
              <c:strCache>
                <c:ptCount val="5"/>
                <c:pt idx="0">
                  <c:v>Γήρατος</c:v>
                </c:pt>
                <c:pt idx="1">
                  <c:v>Θανάτου</c:v>
                </c:pt>
                <c:pt idx="2">
                  <c:v>Αναπηρίας</c:v>
                </c:pt>
                <c:pt idx="3">
                  <c:v>Ανασφάλιστων Υπερηλίκων ΟΓΑ</c:v>
                </c:pt>
                <c:pt idx="4">
                  <c:v>Χωρίς Ένδειξη Κατηγορίας</c:v>
                </c:pt>
              </c:strCache>
            </c:strRef>
          </c:cat>
          <c:val>
            <c:numRef>
              <c:f>Φύλλο2!$B$4:$B$8</c:f>
              <c:numCache>
                <c:formatCode>#,##0</c:formatCode>
                <c:ptCount val="5"/>
                <c:pt idx="0">
                  <c:v>2035564</c:v>
                </c:pt>
                <c:pt idx="1">
                  <c:v>373279</c:v>
                </c:pt>
                <c:pt idx="2">
                  <c:v>234592</c:v>
                </c:pt>
                <c:pt idx="3">
                  <c:v>39249</c:v>
                </c:pt>
                <c:pt idx="4">
                  <c:v>24240</c:v>
                </c:pt>
              </c:numCache>
            </c:numRef>
          </c:val>
        </c:ser>
        <c:ser>
          <c:idx val="1"/>
          <c:order val="1"/>
          <c:tx>
            <c:strRef>
              <c:f>Φύλλο2!$C$3</c:f>
              <c:strCache>
                <c:ptCount val="1"/>
                <c:pt idx="0">
                  <c:v>Μηνιαίο Ποσό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Φύλλο2!$A$4:$A$8</c:f>
              <c:strCache>
                <c:ptCount val="5"/>
                <c:pt idx="0">
                  <c:v>Γήρατος</c:v>
                </c:pt>
                <c:pt idx="1">
                  <c:v>Θανάτου</c:v>
                </c:pt>
                <c:pt idx="2">
                  <c:v>Αναπηρίας</c:v>
                </c:pt>
                <c:pt idx="3">
                  <c:v>Ανασφάλιστων Υπερηλίκων ΟΓΑ</c:v>
                </c:pt>
                <c:pt idx="4">
                  <c:v>Χωρίς Ένδειξη Κατηγορίας</c:v>
                </c:pt>
              </c:strCache>
            </c:strRef>
          </c:cat>
          <c:val>
            <c:numRef>
              <c:f>Φύλλο2!$C$4:$C$8</c:f>
              <c:numCache>
                <c:formatCode>#,##0</c:formatCode>
                <c:ptCount val="5"/>
                <c:pt idx="0">
                  <c:v>1875066054.97</c:v>
                </c:pt>
                <c:pt idx="1">
                  <c:v>253386501.31999999</c:v>
                </c:pt>
                <c:pt idx="2">
                  <c:v>143365957.62</c:v>
                </c:pt>
                <c:pt idx="3">
                  <c:v>14204305.02</c:v>
                </c:pt>
                <c:pt idx="4">
                  <c:v>17410134.800000001</c:v>
                </c:pt>
              </c:numCache>
            </c:numRef>
          </c:val>
        </c:ser>
        <c:ser>
          <c:idx val="2"/>
          <c:order val="2"/>
          <c:tx>
            <c:strRef>
              <c:f>Φύλλο2!$D$3</c:f>
              <c:strCache>
                <c:ptCount val="1"/>
                <c:pt idx="0">
                  <c:v>Μέσο Μηνιαίο Εισόδημα από συντάξεις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Φύλλο2!$A$4:$A$8</c:f>
              <c:strCache>
                <c:ptCount val="5"/>
                <c:pt idx="0">
                  <c:v>Γήρατος</c:v>
                </c:pt>
                <c:pt idx="1">
                  <c:v>Θανάτου</c:v>
                </c:pt>
                <c:pt idx="2">
                  <c:v>Αναπηρίας</c:v>
                </c:pt>
                <c:pt idx="3">
                  <c:v>Ανασφάλιστων Υπερηλίκων ΟΓΑ</c:v>
                </c:pt>
                <c:pt idx="4">
                  <c:v>Χωρίς Ένδειξη Κατηγορίας</c:v>
                </c:pt>
              </c:strCache>
            </c:strRef>
          </c:cat>
          <c:val>
            <c:numRef>
              <c:f>Φύλλο2!$D$4:$D$8</c:f>
              <c:numCache>
                <c:formatCode>#,##0.00</c:formatCode>
                <c:ptCount val="5"/>
                <c:pt idx="0">
                  <c:v>921.15</c:v>
                </c:pt>
                <c:pt idx="1">
                  <c:v>678.81</c:v>
                </c:pt>
                <c:pt idx="2">
                  <c:v>611.13</c:v>
                </c:pt>
                <c:pt idx="3">
                  <c:v>361.9</c:v>
                </c:pt>
                <c:pt idx="4">
                  <c:v>718.24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layout>
        <c:manualLayout>
          <c:xMode val="edge"/>
          <c:yMode val="edge"/>
          <c:x val="0"/>
          <c:y val="0.77085050538895361"/>
          <c:w val="0.9989742802617505"/>
          <c:h val="0.20610003536791943"/>
        </c:manualLayout>
      </c:layout>
      <c:txPr>
        <a:bodyPr/>
        <a:lstStyle/>
        <a:p>
          <a:pPr>
            <a:defRPr sz="1000"/>
          </a:pPr>
          <a:endParaRPr lang="el-GR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4"/>
            <c:spPr>
              <a:solidFill>
                <a:srgbClr val="FFFF00"/>
              </a:solidFill>
            </c:spPr>
          </c:dPt>
          <c:dPt>
            <c:idx val="6"/>
            <c:spPr>
              <a:solidFill>
                <a:srgbClr val="00B050"/>
              </a:solidFill>
            </c:spPr>
          </c:dPt>
          <c:dLbls>
            <c:showPercent val="1"/>
            <c:showLeaderLines val="1"/>
          </c:dLbls>
          <c:cat>
            <c:strRef>
              <c:f>Φύλλο1!$E$29:$E$35</c:f>
              <c:strCache>
                <c:ptCount val="7"/>
                <c:pt idx="0">
                  <c:v>&lt;=25</c:v>
                </c:pt>
                <c:pt idx="1">
                  <c:v>26-50</c:v>
                </c:pt>
                <c:pt idx="2">
                  <c:v>51-55</c:v>
                </c:pt>
                <c:pt idx="3">
                  <c:v>56-60</c:v>
                </c:pt>
                <c:pt idx="4">
                  <c:v>61-65</c:v>
                </c:pt>
                <c:pt idx="5">
                  <c:v>66-69</c:v>
                </c:pt>
                <c:pt idx="6">
                  <c:v>&gt;=70</c:v>
                </c:pt>
              </c:strCache>
            </c:strRef>
          </c:cat>
          <c:val>
            <c:numRef>
              <c:f>Φύλλο1!$F$29:$F$35</c:f>
              <c:numCache>
                <c:formatCode>#,##0</c:formatCode>
                <c:ptCount val="7"/>
                <c:pt idx="0">
                  <c:v>27367</c:v>
                </c:pt>
                <c:pt idx="1">
                  <c:v>90447</c:v>
                </c:pt>
                <c:pt idx="2">
                  <c:v>104575</c:v>
                </c:pt>
                <c:pt idx="3">
                  <c:v>204825</c:v>
                </c:pt>
                <c:pt idx="4">
                  <c:v>324534</c:v>
                </c:pt>
                <c:pt idx="5">
                  <c:v>384901</c:v>
                </c:pt>
                <c:pt idx="6">
                  <c:v>1569419</c:v>
                </c:pt>
              </c:numCache>
            </c:numRef>
          </c:val>
        </c:ser>
        <c:ser>
          <c:idx val="1"/>
          <c:order val="1"/>
          <c:explosion val="25"/>
          <c:dLbls>
            <c:showPercent val="1"/>
            <c:showLeaderLines val="1"/>
          </c:dLbls>
          <c:cat>
            <c:strRef>
              <c:f>Φύλλο1!$E$29:$E$35</c:f>
              <c:strCache>
                <c:ptCount val="7"/>
                <c:pt idx="0">
                  <c:v>&lt;=25</c:v>
                </c:pt>
                <c:pt idx="1">
                  <c:v>26-50</c:v>
                </c:pt>
                <c:pt idx="2">
                  <c:v>51-55</c:v>
                </c:pt>
                <c:pt idx="3">
                  <c:v>56-60</c:v>
                </c:pt>
                <c:pt idx="4">
                  <c:v>61-65</c:v>
                </c:pt>
                <c:pt idx="5">
                  <c:v>66-69</c:v>
                </c:pt>
                <c:pt idx="6">
                  <c:v>&gt;=70</c:v>
                </c:pt>
              </c:strCache>
            </c:strRef>
          </c:cat>
          <c:val>
            <c:numRef>
              <c:f>Φύλλο1!$G$29:$G$35</c:f>
              <c:numCache>
                <c:formatCode>0.00%</c:formatCode>
                <c:ptCount val="7"/>
                <c:pt idx="0">
                  <c:v>1.0109999394146271E-2</c:v>
                </c:pt>
                <c:pt idx="1">
                  <c:v>3.3413202587143413E-2</c:v>
                </c:pt>
                <c:pt idx="2">
                  <c:v>3.8632410810203882E-2</c:v>
                </c:pt>
                <c:pt idx="3">
                  <c:v>7.5667067121204731E-2</c:v>
                </c:pt>
                <c:pt idx="4">
                  <c:v>0.11989032569809845</c:v>
                </c:pt>
                <c:pt idx="5">
                  <c:v>0.14219128427691374</c:v>
                </c:pt>
                <c:pt idx="6">
                  <c:v>0.5797794840195033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6272215973003373"/>
          <c:y val="0.87350957556160991"/>
          <c:w val="0.72213561142695015"/>
          <c:h val="7.9050987479024434E-2"/>
        </c:manualLayout>
      </c:layout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AngAx val="1"/>
    </c:view3D>
    <c:plotArea>
      <c:layout>
        <c:manualLayout>
          <c:layoutTarget val="inner"/>
          <c:xMode val="edge"/>
          <c:yMode val="edge"/>
          <c:x val="0.1354767982096533"/>
          <c:y val="5.0169773082162201E-2"/>
          <c:w val="0.84873164921182565"/>
          <c:h val="0.6714601215388617"/>
        </c:manualLayout>
      </c:layout>
      <c:bar3DChart>
        <c:barDir val="col"/>
        <c:grouping val="clustered"/>
        <c:ser>
          <c:idx val="0"/>
          <c:order val="0"/>
          <c:tx>
            <c:strRef>
              <c:f>Φύλλο1!$C$25</c:f>
              <c:strCache>
                <c:ptCount val="1"/>
                <c:pt idx="0">
                  <c:v>ΚΥΡΙΑ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rgbClr val="9BBB59">
                  <a:lumMod val="40000"/>
                  <a:lumOff val="60000"/>
                </a:srgbClr>
              </a:solidFill>
            </a:ln>
          </c:spPr>
          <c:cat>
            <c:strRef>
              <c:f>Φύλλο1!$D$24:$H$24</c:f>
              <c:strCache>
                <c:ptCount val="5"/>
                <c:pt idx="0">
                  <c:v>Γήρατος</c:v>
                </c:pt>
                <c:pt idx="1">
                  <c:v>Θανάτου</c:v>
                </c:pt>
                <c:pt idx="2">
                  <c:v>Αναπηρική</c:v>
                </c:pt>
                <c:pt idx="3">
                  <c:v>Ανασφάλιστων Υπερηλίκων ΟΓΑ</c:v>
                </c:pt>
                <c:pt idx="4">
                  <c:v>Χωρίς Ένδειξη</c:v>
                </c:pt>
              </c:strCache>
            </c:strRef>
          </c:cat>
          <c:val>
            <c:numRef>
              <c:f>Φύλλο1!$D$25:$H$25</c:f>
              <c:numCache>
                <c:formatCode>#,##0</c:formatCode>
                <c:ptCount val="5"/>
                <c:pt idx="0">
                  <c:v>1989680</c:v>
                </c:pt>
                <c:pt idx="1">
                  <c:v>578494</c:v>
                </c:pt>
                <c:pt idx="2">
                  <c:v>269054</c:v>
                </c:pt>
                <c:pt idx="3">
                  <c:v>39249</c:v>
                </c:pt>
                <c:pt idx="4">
                  <c:v>20718</c:v>
                </c:pt>
              </c:numCache>
            </c:numRef>
          </c:val>
        </c:ser>
        <c:ser>
          <c:idx val="1"/>
          <c:order val="1"/>
          <c:tx>
            <c:strRef>
              <c:f>Φύλλο1!$C$26</c:f>
              <c:strCache>
                <c:ptCount val="1"/>
                <c:pt idx="0">
                  <c:v>ΕΠΙΚΟΥΡΙΚΗ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accent3">
                  <a:lumMod val="40000"/>
                  <a:lumOff val="60000"/>
                </a:schemeClr>
              </a:solidFill>
            </a:ln>
          </c:spPr>
          <c:cat>
            <c:strRef>
              <c:f>Φύλλο1!$D$24:$H$24</c:f>
              <c:strCache>
                <c:ptCount val="5"/>
                <c:pt idx="0">
                  <c:v>Γήρατος</c:v>
                </c:pt>
                <c:pt idx="1">
                  <c:v>Θανάτου</c:v>
                </c:pt>
                <c:pt idx="2">
                  <c:v>Αναπηρική</c:v>
                </c:pt>
                <c:pt idx="3">
                  <c:v>Ανασφάλιστων Υπερηλίκων ΟΓΑ</c:v>
                </c:pt>
                <c:pt idx="4">
                  <c:v>Χωρίς Ένδειξη</c:v>
                </c:pt>
              </c:strCache>
            </c:strRef>
          </c:cat>
          <c:val>
            <c:numRef>
              <c:f>Φύλλο1!$D$26:$H$26</c:f>
              <c:numCache>
                <c:formatCode>#,##0</c:formatCode>
                <c:ptCount val="5"/>
                <c:pt idx="0">
                  <c:v>1123551</c:v>
                </c:pt>
                <c:pt idx="1">
                  <c:v>245395</c:v>
                </c:pt>
                <c:pt idx="2">
                  <c:v>77435</c:v>
                </c:pt>
                <c:pt idx="3">
                  <c:v>0</c:v>
                </c:pt>
                <c:pt idx="4">
                  <c:v>106778</c:v>
                </c:pt>
              </c:numCache>
            </c:numRef>
          </c:val>
        </c:ser>
        <c:gapWidth val="75"/>
        <c:gapDepth val="295"/>
        <c:shape val="box"/>
        <c:axId val="84055936"/>
        <c:axId val="90755456"/>
        <c:axId val="0"/>
      </c:bar3DChart>
      <c:catAx>
        <c:axId val="840559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0755456"/>
        <c:crosses val="autoZero"/>
        <c:auto val="1"/>
        <c:lblAlgn val="ctr"/>
        <c:lblOffset val="100"/>
      </c:catAx>
      <c:valAx>
        <c:axId val="90755456"/>
        <c:scaling>
          <c:orientation val="minMax"/>
        </c:scaling>
        <c:axPos val="l"/>
        <c:majorGridlines/>
        <c:numFmt formatCode="#,##0" sourceLinked="1"/>
        <c:tickLblPos val="nextTo"/>
        <c:crossAx val="840559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/>
            </a:pPr>
            <a:endParaRPr lang="el-GR"/>
          </a:p>
        </c:txPr>
      </c:legendEntry>
      <c:legendEntry>
        <c:idx val="1"/>
        <c:txPr>
          <a:bodyPr/>
          <a:lstStyle/>
          <a:p>
            <a:pPr>
              <a:defRPr b="1"/>
            </a:pPr>
            <a:endParaRPr lang="el-GR"/>
          </a:p>
        </c:txPr>
      </c:legendEntry>
      <c:layout>
        <c:manualLayout>
          <c:xMode val="edge"/>
          <c:yMode val="edge"/>
          <c:x val="0.78692527251191369"/>
          <c:y val="0.18935138009709729"/>
          <c:w val="0.16932957950045918"/>
          <c:h val="0.15505177608425957"/>
        </c:manualLayout>
      </c:layout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0.61017</cdr:x>
      <cdr:y>0.50171</cdr:y>
    </cdr:from>
    <cdr:to>
      <cdr:x>0.73446</cdr:x>
      <cdr:y>0.58703</cdr:y>
    </cdr:to>
    <cdr:sp macro="" textlink="">
      <cdr:nvSpPr>
        <cdr:cNvPr id="2" name="1 - TextBox"/>
        <cdr:cNvSpPr txBox="1"/>
      </cdr:nvSpPr>
      <cdr:spPr>
        <a:xfrm xmlns:a="http://schemas.openxmlformats.org/drawingml/2006/main">
          <a:off x="3086100" y="1400176"/>
          <a:ext cx="6286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chemeClr val="bg1"/>
              </a:solidFill>
            </a:rPr>
            <a:t>921,15 </a:t>
          </a:r>
          <a:r>
            <a:rPr lang="el-GR" sz="800" b="1">
              <a:solidFill>
                <a:schemeClr val="bg1"/>
              </a:solidFill>
              <a:latin typeface="+mn-lt"/>
              <a:ea typeface="+mn-ea"/>
              <a:cs typeface="+mn-cs"/>
            </a:rPr>
            <a:t>€</a:t>
          </a:r>
          <a:endParaRPr lang="el-GR" sz="800">
            <a:solidFill>
              <a:schemeClr val="bg1"/>
            </a:solidFill>
            <a:latin typeface="+mn-lt"/>
            <a:ea typeface="+mn-ea"/>
            <a:cs typeface="+mn-cs"/>
          </a:endParaRPr>
        </a:p>
        <a:p xmlns:a="http://schemas.openxmlformats.org/drawingml/2006/main">
          <a:endParaRPr lang="el-GR" sz="1100"/>
        </a:p>
      </cdr:txBody>
    </cdr:sp>
  </cdr:relSizeAnchor>
  <cdr:relSizeAnchor xmlns:cdr="http://schemas.openxmlformats.org/drawingml/2006/chartDrawing">
    <cdr:from>
      <cdr:x>0.26112</cdr:x>
      <cdr:y>0.27825</cdr:y>
    </cdr:from>
    <cdr:to>
      <cdr:x>0.38541</cdr:x>
      <cdr:y>0.36357</cdr:y>
    </cdr:to>
    <cdr:sp macro="" textlink="">
      <cdr:nvSpPr>
        <cdr:cNvPr id="3" name="1 - TextBox"/>
        <cdr:cNvSpPr txBox="1"/>
      </cdr:nvSpPr>
      <cdr:spPr>
        <a:xfrm xmlns:a="http://schemas.openxmlformats.org/drawingml/2006/main">
          <a:off x="1231157" y="628131"/>
          <a:ext cx="586012" cy="1926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ysClr val="window" lastClr="FFFFFF"/>
              </a:solidFill>
            </a:rPr>
            <a:t>678,81</a:t>
          </a:r>
          <a:r>
            <a:rPr lang="el-GR" sz="800" b="1">
              <a:solidFill>
                <a:sysClr val="window" lastClr="FFFFFF"/>
              </a:solidFill>
              <a:latin typeface="Calibri"/>
            </a:rPr>
            <a:t>€</a:t>
          </a:r>
          <a:endParaRPr lang="el-GR" sz="800">
            <a:solidFill>
              <a:sysClr val="window" lastClr="FFFFFF"/>
            </a:solidFill>
            <a:latin typeface="Calibri"/>
          </a:endParaRPr>
        </a:p>
        <a:p xmlns:a="http://schemas.openxmlformats.org/drawingml/2006/main">
          <a:endParaRPr lang="el-GR" sz="1100"/>
        </a:p>
      </cdr:txBody>
    </cdr:sp>
  </cdr:relSizeAnchor>
  <cdr:relSizeAnchor xmlns:cdr="http://schemas.openxmlformats.org/drawingml/2006/chartDrawing">
    <cdr:from>
      <cdr:x>0.37586</cdr:x>
      <cdr:y>0.10281</cdr:y>
    </cdr:from>
    <cdr:to>
      <cdr:x>0.50015</cdr:x>
      <cdr:y>0.18814</cdr:y>
    </cdr:to>
    <cdr:sp macro="" textlink="">
      <cdr:nvSpPr>
        <cdr:cNvPr id="4" name="1 - TextBox"/>
        <cdr:cNvSpPr txBox="1"/>
      </cdr:nvSpPr>
      <cdr:spPr>
        <a:xfrm xmlns:a="http://schemas.openxmlformats.org/drawingml/2006/main">
          <a:off x="1772141" y="232089"/>
          <a:ext cx="586011" cy="192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ysClr val="window" lastClr="FFFFFF"/>
              </a:solidFill>
            </a:rPr>
            <a:t>611,31</a:t>
          </a:r>
          <a:r>
            <a:rPr lang="el-GR" sz="800" b="1">
              <a:solidFill>
                <a:sysClr val="window" lastClr="FFFFFF"/>
              </a:solidFill>
              <a:latin typeface="Calibri"/>
            </a:rPr>
            <a:t>€</a:t>
          </a:r>
          <a:endParaRPr lang="el-GR" sz="800">
            <a:solidFill>
              <a:sysClr val="window" lastClr="FFFFFF"/>
            </a:solidFill>
            <a:latin typeface="Calibri"/>
          </a:endParaRPr>
        </a:p>
        <a:p xmlns:a="http://schemas.openxmlformats.org/drawingml/2006/main">
          <a:endParaRPr lang="el-G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0.25325</cdr:x>
      <cdr:y>0.61217</cdr:y>
    </cdr:from>
    <cdr:to>
      <cdr:x>0.37879</cdr:x>
      <cdr:y>0.69582</cdr:y>
    </cdr:to>
    <cdr:sp macro="" textlink="">
      <cdr:nvSpPr>
        <cdr:cNvPr id="2" name="1 - TextBox"/>
        <cdr:cNvSpPr txBox="1"/>
      </cdr:nvSpPr>
      <cdr:spPr>
        <a:xfrm xmlns:a="http://schemas.openxmlformats.org/drawingml/2006/main">
          <a:off x="1114425" y="1533525"/>
          <a:ext cx="5524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800">
              <a:solidFill>
                <a:schemeClr val="bg1"/>
              </a:solidFill>
            </a:rPr>
            <a:t>760,84 </a:t>
          </a:r>
          <a:r>
            <a:rPr lang="el-GR" sz="800" b="0">
              <a:solidFill>
                <a:schemeClr val="bg1"/>
              </a:solidFill>
              <a:latin typeface="+mn-lt"/>
              <a:ea typeface="+mn-ea"/>
              <a:cs typeface="+mn-cs"/>
            </a:rPr>
            <a:t>€</a:t>
          </a:r>
          <a:endParaRPr lang="el-GR" sz="800" b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0.64935</cdr:x>
      <cdr:y>0.60837</cdr:y>
    </cdr:from>
    <cdr:to>
      <cdr:x>0.78355</cdr:x>
      <cdr:y>0.71863</cdr:y>
    </cdr:to>
    <cdr:sp macro="" textlink="">
      <cdr:nvSpPr>
        <cdr:cNvPr id="3" name="2 - TextBox"/>
        <cdr:cNvSpPr txBox="1"/>
      </cdr:nvSpPr>
      <cdr:spPr>
        <a:xfrm xmlns:a="http://schemas.openxmlformats.org/drawingml/2006/main">
          <a:off x="2857501" y="1524000"/>
          <a:ext cx="590549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chemeClr val="bg1"/>
              </a:solidFill>
            </a:rPr>
            <a:t>934,77</a:t>
          </a:r>
          <a:r>
            <a:rPr lang="el-GR" sz="800" b="0">
              <a:solidFill>
                <a:schemeClr val="bg1"/>
              </a:solidFill>
              <a:latin typeface="+mn-lt"/>
              <a:ea typeface="+mn-ea"/>
              <a:cs typeface="+mn-cs"/>
            </a:rPr>
            <a:t>€</a:t>
          </a:r>
          <a:endParaRPr lang="el-GR" sz="800" b="0">
            <a:solidFill>
              <a:schemeClr val="bg1"/>
            </a:solidFill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chemeClr val="bg1"/>
              </a:solidFill>
            </a:rPr>
            <a:t> </a:t>
          </a:r>
          <a:endParaRPr lang="el-GR" sz="800" b="0">
            <a:solidFill>
              <a:schemeClr val="bg1"/>
            </a:solidFill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chemeClr val="bg1"/>
              </a:solidFill>
            </a:rPr>
            <a:t> </a:t>
          </a:r>
          <a:endParaRPr lang="el-GR" sz="800" b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0.78355</cdr:x>
      <cdr:y>0.3384</cdr:y>
    </cdr:from>
    <cdr:to>
      <cdr:x>0.95022</cdr:x>
      <cdr:y>0.41445</cdr:y>
    </cdr:to>
    <cdr:sp macro="" textlink="">
      <cdr:nvSpPr>
        <cdr:cNvPr id="4" name="3 - TextBox"/>
        <cdr:cNvSpPr txBox="1"/>
      </cdr:nvSpPr>
      <cdr:spPr>
        <a:xfrm xmlns:a="http://schemas.openxmlformats.org/drawingml/2006/main">
          <a:off x="3448049" y="847725"/>
          <a:ext cx="7334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800">
              <a:solidFill>
                <a:sysClr val="windowText" lastClr="000000"/>
              </a:solidFill>
            </a:rPr>
            <a:t>1.098</a:t>
          </a:r>
          <a:r>
            <a:rPr lang="el-GR" sz="800" b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€</a:t>
          </a:r>
          <a:r>
            <a:rPr lang="el-GR" sz="800" baseline="0">
              <a:solidFill>
                <a:sysClr val="windowText" lastClr="000000"/>
              </a:solidFill>
            </a:rPr>
            <a:t> </a:t>
          </a:r>
          <a:endParaRPr lang="el-GR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0.67533</cdr:x>
      <cdr:y>0.22053</cdr:y>
    </cdr:from>
    <cdr:to>
      <cdr:x>0.842</cdr:x>
      <cdr:y>0.29658</cdr:y>
    </cdr:to>
    <cdr:sp macro="" textlink="">
      <cdr:nvSpPr>
        <cdr:cNvPr id="5" name="1 - TextBox"/>
        <cdr:cNvSpPr txBox="1"/>
      </cdr:nvSpPr>
      <cdr:spPr>
        <a:xfrm xmlns:a="http://schemas.openxmlformats.org/drawingml/2006/main">
          <a:off x="2971806" y="552444"/>
          <a:ext cx="733439" cy="1905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l-GR" sz="800">
              <a:solidFill>
                <a:sysClr val="windowText" lastClr="000000"/>
              </a:solidFill>
            </a:rPr>
            <a:t>1.065,88</a:t>
          </a:r>
          <a:r>
            <a:rPr lang="el-GR" sz="800" b="0">
              <a:solidFill>
                <a:sysClr val="windowText" lastClr="000000"/>
              </a:solidFill>
              <a:latin typeface="Calibri"/>
            </a:rPr>
            <a:t>€</a:t>
          </a:r>
          <a:r>
            <a:rPr lang="el-GR" sz="800" baseline="0">
              <a:solidFill>
                <a:sysClr val="windowText" lastClr="000000"/>
              </a:solidFill>
            </a:rPr>
            <a:t> </a:t>
          </a:r>
          <a:endParaRPr lang="el-GR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0.60606</cdr:x>
      <cdr:y>0.12168</cdr:y>
    </cdr:from>
    <cdr:to>
      <cdr:x>0.73376</cdr:x>
      <cdr:y>0.19772</cdr:y>
    </cdr:to>
    <cdr:sp macro="" textlink="">
      <cdr:nvSpPr>
        <cdr:cNvPr id="6" name="1 - TextBox"/>
        <cdr:cNvSpPr txBox="1"/>
      </cdr:nvSpPr>
      <cdr:spPr>
        <a:xfrm xmlns:a="http://schemas.openxmlformats.org/drawingml/2006/main">
          <a:off x="2667006" y="304812"/>
          <a:ext cx="561950" cy="190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l-GR" sz="800">
              <a:solidFill>
                <a:sysClr val="windowText" lastClr="000000"/>
              </a:solidFill>
            </a:rPr>
            <a:t>959,66</a:t>
          </a:r>
          <a:r>
            <a:rPr lang="el-GR" sz="800" b="0">
              <a:solidFill>
                <a:sysClr val="windowText" lastClr="000000"/>
              </a:solidFill>
              <a:latin typeface="Calibri"/>
            </a:rPr>
            <a:t>€</a:t>
          </a:r>
          <a:r>
            <a:rPr lang="el-GR" sz="800" baseline="0">
              <a:solidFill>
                <a:sysClr val="windowText" lastClr="000000"/>
              </a:solidFill>
            </a:rPr>
            <a:t> </a:t>
          </a:r>
          <a:endParaRPr lang="el-GR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0.50649</cdr:x>
      <cdr:y>0.09886</cdr:y>
    </cdr:from>
    <cdr:to>
      <cdr:x>0.64719</cdr:x>
      <cdr:y>0.20532</cdr:y>
    </cdr:to>
    <cdr:sp macro="" textlink="">
      <cdr:nvSpPr>
        <cdr:cNvPr id="7" name="1 - TextBox"/>
        <cdr:cNvSpPr txBox="1"/>
      </cdr:nvSpPr>
      <cdr:spPr>
        <a:xfrm xmlns:a="http://schemas.openxmlformats.org/drawingml/2006/main">
          <a:off x="2228830" y="247659"/>
          <a:ext cx="619158" cy="2666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>
              <a:solidFill>
                <a:sysClr val="windowText" lastClr="000000"/>
              </a:solidFill>
            </a:rPr>
            <a:t>701,92</a:t>
          </a:r>
          <a:r>
            <a:rPr lang="el-GR" sz="800" b="0">
              <a:solidFill>
                <a:sysClr val="windowText" lastClr="000000"/>
              </a:solidFill>
              <a:latin typeface="Calibri"/>
            </a:rPr>
            <a:t>€</a:t>
          </a:r>
          <a:r>
            <a:rPr lang="el-GR" sz="800" baseline="0">
              <a:solidFill>
                <a:sysClr val="windowText" lastClr="000000"/>
              </a:solidFill>
            </a:rPr>
            <a:t> </a:t>
          </a:r>
          <a:endParaRPr lang="el-GR" sz="800">
            <a:solidFill>
              <a:sysClr val="windowText" lastClr="000000"/>
            </a:solidFill>
          </a:endParaRPr>
        </a:p>
        <a:p xmlns:a="http://schemas.openxmlformats.org/drawingml/2006/main">
          <a:endParaRPr lang="el-GR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0.41126</cdr:x>
      <cdr:y>0.07985</cdr:y>
    </cdr:from>
    <cdr:to>
      <cdr:x>0.55196</cdr:x>
      <cdr:y>0.18631</cdr:y>
    </cdr:to>
    <cdr:sp macro="" textlink="">
      <cdr:nvSpPr>
        <cdr:cNvPr id="8" name="1 - TextBox"/>
        <cdr:cNvSpPr txBox="1"/>
      </cdr:nvSpPr>
      <cdr:spPr>
        <a:xfrm xmlns:a="http://schemas.openxmlformats.org/drawingml/2006/main">
          <a:off x="1809750" y="200025"/>
          <a:ext cx="619158" cy="2666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l-GR" sz="800" b="0">
              <a:solidFill>
                <a:sysClr val="windowText" lastClr="000000"/>
              </a:solidFill>
              <a:latin typeface="Calibri"/>
            </a:rPr>
            <a:t>393,07€</a:t>
          </a:r>
          <a:r>
            <a:rPr lang="el-GR" sz="800" baseline="0">
              <a:solidFill>
                <a:sysClr val="windowText" lastClr="000000"/>
              </a:solidFill>
            </a:rPr>
            <a:t> </a:t>
          </a:r>
          <a:endParaRPr lang="el-GR" sz="800">
            <a:solidFill>
              <a:sysClr val="windowText" lastClr="000000"/>
            </a:solidFill>
          </a:endParaRPr>
        </a:p>
        <a:p xmlns:a="http://schemas.openxmlformats.org/drawingml/2006/main">
          <a:endParaRPr lang="el-GR" sz="8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2479-229A-467A-8450-CBB520C7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3726</Words>
  <Characters>20125</Characters>
  <Application>Microsoft Office Word</Application>
  <DocSecurity>0</DocSecurity>
  <Lines>167</Lines>
  <Paragraphs>47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23804</CharactersWithSpaces>
  <SharedDoc>false</SharedDoc>
  <HLinks>
    <vt:vector size="54" baseType="variant"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_Toc362865047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_Toc362865046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_Toc362865045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_Toc362865044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_Toc362865043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_Toc362865042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_Toc362865041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_Toc362865040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_Toc362865039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Koutrouli</dc:creator>
  <cp:keywords/>
  <cp:lastModifiedBy> </cp:lastModifiedBy>
  <cp:revision>2</cp:revision>
  <cp:lastPrinted>2013-09-04T08:31:00Z</cp:lastPrinted>
  <dcterms:created xsi:type="dcterms:W3CDTF">2013-09-06T09:56:00Z</dcterms:created>
  <dcterms:modified xsi:type="dcterms:W3CDTF">2013-09-06T09:56:00Z</dcterms:modified>
</cp:coreProperties>
</file>